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44EBD" w14:textId="77777777" w:rsidR="006E3687" w:rsidRDefault="006E3687" w:rsidP="006E3687"/>
    <w:p w14:paraId="515D6D38" w14:textId="77777777" w:rsidR="006E3687" w:rsidRDefault="006E3687" w:rsidP="006E3687"/>
    <w:p w14:paraId="0833DEE7" w14:textId="77777777" w:rsidR="006E3687" w:rsidRDefault="006E3687" w:rsidP="006E3687"/>
    <w:p w14:paraId="48FB0A6D" w14:textId="77777777" w:rsidR="006E3687" w:rsidRPr="003705DD" w:rsidRDefault="006E3687" w:rsidP="006E3687">
      <w:r w:rsidRPr="003705DD">
        <w:t xml:space="preserve">Running </w:t>
      </w:r>
      <w:r>
        <w:t>head:  ELICITING COARSE-GRAIN INFORMATION</w:t>
      </w:r>
    </w:p>
    <w:p w14:paraId="61CBCE83" w14:textId="77777777" w:rsidR="006E3687" w:rsidRPr="003705DD" w:rsidRDefault="006E3687" w:rsidP="006E3687"/>
    <w:p w14:paraId="62BE6C67" w14:textId="77777777" w:rsidR="006E3687" w:rsidRPr="003705DD" w:rsidRDefault="006E3687" w:rsidP="006E3687"/>
    <w:p w14:paraId="3E518C13" w14:textId="77777777" w:rsidR="006E3687" w:rsidRDefault="006E3687" w:rsidP="006E3687">
      <w:pPr>
        <w:pStyle w:val="AuthorInfo"/>
      </w:pPr>
      <w:r>
        <w:t>Interviewing Witnesses: Eliciting Coarse-Grain Information</w:t>
      </w:r>
    </w:p>
    <w:p w14:paraId="59779AE1" w14:textId="77777777" w:rsidR="006E3687" w:rsidRDefault="006E3687" w:rsidP="006E3687">
      <w:pPr>
        <w:jc w:val="center"/>
      </w:pPr>
      <w:r>
        <w:t>Neil Brewer, Ambika Nagesh Vagadia</w:t>
      </w:r>
    </w:p>
    <w:p w14:paraId="5C7D8BBE" w14:textId="77777777" w:rsidR="006E3687" w:rsidRDefault="006E3687" w:rsidP="006E3687">
      <w:pPr>
        <w:jc w:val="center"/>
      </w:pPr>
      <w:r>
        <w:t>Flinders University</w:t>
      </w:r>
    </w:p>
    <w:p w14:paraId="5766E857" w14:textId="77777777" w:rsidR="006E3687" w:rsidRDefault="006E3687" w:rsidP="006E3687">
      <w:pPr>
        <w:pStyle w:val="BodyText"/>
        <w:ind w:firstLine="0"/>
        <w:jc w:val="center"/>
      </w:pPr>
      <w:r>
        <w:t>Lorraine Hope</w:t>
      </w:r>
    </w:p>
    <w:p w14:paraId="21EC3629" w14:textId="77777777" w:rsidR="006E3687" w:rsidRDefault="006E3687" w:rsidP="006E3687">
      <w:pPr>
        <w:pStyle w:val="BodyText"/>
        <w:ind w:firstLine="0"/>
        <w:jc w:val="center"/>
      </w:pPr>
      <w:r>
        <w:t>University of Portsmouth</w:t>
      </w:r>
    </w:p>
    <w:p w14:paraId="7DE69397" w14:textId="77777777" w:rsidR="006E3687" w:rsidRDefault="006E3687" w:rsidP="006E3687">
      <w:pPr>
        <w:pStyle w:val="BodyText"/>
        <w:ind w:firstLine="0"/>
        <w:jc w:val="center"/>
      </w:pPr>
      <w:r>
        <w:t>Fiona Gabbert</w:t>
      </w:r>
    </w:p>
    <w:p w14:paraId="11B8F9C0" w14:textId="77777777" w:rsidR="006E3687" w:rsidRDefault="006E3687" w:rsidP="006E3687">
      <w:pPr>
        <w:pStyle w:val="BodyText"/>
        <w:ind w:firstLine="0"/>
        <w:jc w:val="center"/>
      </w:pPr>
      <w:r>
        <w:t>Goldsmiths, University of London</w:t>
      </w:r>
    </w:p>
    <w:p w14:paraId="0051F1D4" w14:textId="77777777" w:rsidR="006E3687" w:rsidRDefault="006E3687" w:rsidP="006E3687">
      <w:pPr>
        <w:pStyle w:val="BodyText"/>
        <w:ind w:firstLine="0"/>
      </w:pPr>
    </w:p>
    <w:p w14:paraId="62B6F288" w14:textId="77777777" w:rsidR="006E3687" w:rsidRDefault="006E3687" w:rsidP="006E3687">
      <w:pPr>
        <w:pStyle w:val="BodyText"/>
        <w:ind w:firstLine="0"/>
      </w:pPr>
    </w:p>
    <w:p w14:paraId="1F83452B" w14:textId="77777777" w:rsidR="006E3687" w:rsidRPr="00821FBC" w:rsidRDefault="006E3687" w:rsidP="006E3687">
      <w:pPr>
        <w:pStyle w:val="BodyText"/>
        <w:ind w:firstLine="0"/>
      </w:pPr>
    </w:p>
    <w:p w14:paraId="0A014ADB" w14:textId="77777777" w:rsidR="006E3687" w:rsidRDefault="006E3687" w:rsidP="006E3687">
      <w:pPr>
        <w:pStyle w:val="BodyText"/>
        <w:tabs>
          <w:tab w:val="left" w:pos="993"/>
        </w:tabs>
        <w:ind w:firstLine="0"/>
      </w:pPr>
      <w:r w:rsidRPr="00985F8A">
        <w:t xml:space="preserve">This research was supported by Australian Research Council </w:t>
      </w:r>
      <w:r w:rsidRPr="00F9578B">
        <w:t xml:space="preserve">Linkage International Grant LX0989922 and Economic and Social Research Council Bilateral Programme Grant </w:t>
      </w:r>
      <w:r w:rsidRPr="00F9578B">
        <w:rPr>
          <w:color w:val="222222"/>
          <w:shd w:val="clear" w:color="auto" w:fill="FFFFFF"/>
        </w:rPr>
        <w:t>RES-000-22-3169.</w:t>
      </w:r>
      <w:r>
        <w:rPr>
          <w:rStyle w:val="apple-converted-space"/>
          <w:color w:val="222222"/>
          <w:shd w:val="clear" w:color="auto" w:fill="FFFFFF"/>
        </w:rPr>
        <w:t xml:space="preserve"> </w:t>
      </w:r>
      <w:r w:rsidRPr="00F9578B">
        <w:t>We are g</w:t>
      </w:r>
      <w:r>
        <w:t>rateful to Nicole McCallum</w:t>
      </w:r>
      <w:r w:rsidRPr="00821FBC">
        <w:t xml:space="preserve"> for</w:t>
      </w:r>
      <w:r>
        <w:t xml:space="preserve"> assistance with data collection, coding and analyses, and to Carmen Lucas, Alessandra Caso and Serena Ventura for inter-rater reliability reliability analysis and coding.</w:t>
      </w:r>
    </w:p>
    <w:p w14:paraId="6EA16AEE" w14:textId="77777777" w:rsidR="006E3687" w:rsidRDefault="006E3687" w:rsidP="006E3687">
      <w:pPr>
        <w:pStyle w:val="BodyText"/>
        <w:ind w:firstLine="0"/>
      </w:pPr>
      <w:r w:rsidRPr="00985F8A">
        <w:t xml:space="preserve">Correspondence concerning this article should be addressed to </w:t>
      </w:r>
      <w:r>
        <w:t>Neil Brewer</w:t>
      </w:r>
      <w:r w:rsidRPr="00985F8A">
        <w:t>, School of Psychology, Flinders University, GPO Box 2100, Adelaide, South Australia, Australia.</w:t>
      </w:r>
      <w:r>
        <w:t xml:space="preserve"> </w:t>
      </w:r>
      <w:r w:rsidRPr="00985F8A">
        <w:t xml:space="preserve"> E-mail:</w:t>
      </w:r>
      <w:r>
        <w:t xml:space="preserve"> </w:t>
      </w:r>
      <w:r w:rsidRPr="00985F8A">
        <w:t xml:space="preserve"> </w:t>
      </w:r>
      <w:hyperlink r:id="rId9" w:history="1">
        <w:r w:rsidRPr="0005281C">
          <w:rPr>
            <w:rStyle w:val="Hyperlink"/>
          </w:rPr>
          <w:t>neil.brewer@flinders.edu.au</w:t>
        </w:r>
      </w:hyperlink>
    </w:p>
    <w:p w14:paraId="41900F37" w14:textId="77777777" w:rsidR="006E3687" w:rsidRPr="00F32464" w:rsidRDefault="006E3687" w:rsidP="006E3687"/>
    <w:p w14:paraId="1BC45110" w14:textId="77777777" w:rsidR="006E3687" w:rsidRDefault="006E3687">
      <w:pPr>
        <w:tabs>
          <w:tab w:val="clear" w:pos="8640"/>
        </w:tabs>
        <w:spacing w:line="240" w:lineRule="auto"/>
        <w:rPr>
          <w:b/>
        </w:rPr>
      </w:pPr>
      <w:r>
        <w:rPr>
          <w:b/>
        </w:rPr>
        <w:br w:type="page"/>
      </w:r>
    </w:p>
    <w:p w14:paraId="4F50416E" w14:textId="4EA49A67" w:rsidR="00E53DF0" w:rsidRPr="00C0122C" w:rsidRDefault="00E53DF0" w:rsidP="0032313C">
      <w:pPr>
        <w:pStyle w:val="BodyText"/>
        <w:ind w:firstLine="0"/>
        <w:jc w:val="center"/>
        <w:rPr>
          <w:b/>
        </w:rPr>
      </w:pPr>
      <w:bookmarkStart w:id="0" w:name="_GoBack"/>
      <w:bookmarkEnd w:id="0"/>
      <w:r w:rsidRPr="00C0122C">
        <w:rPr>
          <w:b/>
        </w:rPr>
        <w:lastRenderedPageBreak/>
        <w:t>Abstract</w:t>
      </w:r>
    </w:p>
    <w:p w14:paraId="560F362C" w14:textId="6430B72C" w:rsidR="000B6F5B" w:rsidRPr="00C574FE" w:rsidRDefault="00E40289" w:rsidP="000B6F5B">
      <w:pPr>
        <w:pStyle w:val="BodyText"/>
        <w:ind w:firstLine="425"/>
      </w:pPr>
      <w:r w:rsidRPr="00C574FE">
        <w:t>E</w:t>
      </w:r>
      <w:r w:rsidR="000B6F5B" w:rsidRPr="00C574FE">
        <w:t xml:space="preserve">yewitnesses to crimes </w:t>
      </w:r>
      <w:r w:rsidR="00E62539" w:rsidRPr="00C574FE">
        <w:t>sometimes</w:t>
      </w:r>
      <w:r w:rsidR="000B6F5B" w:rsidRPr="00C574FE">
        <w:t xml:space="preserve"> </w:t>
      </w:r>
      <w:r w:rsidR="001247FA" w:rsidRPr="00C574FE">
        <w:t xml:space="preserve">report inaccurate fine-grain details </w:t>
      </w:r>
      <w:r w:rsidR="00D42F31" w:rsidRPr="00C574FE">
        <w:t>but fail</w:t>
      </w:r>
      <w:r w:rsidR="000B6F5B" w:rsidRPr="00C574FE">
        <w:t xml:space="preserve"> to report </w:t>
      </w:r>
      <w:r w:rsidR="00B246EB" w:rsidRPr="00C574FE">
        <w:t xml:space="preserve">accessible and </w:t>
      </w:r>
      <w:r w:rsidRPr="00C574FE">
        <w:t>potentially</w:t>
      </w:r>
      <w:r w:rsidR="00B246EB" w:rsidRPr="00C574FE">
        <w:t xml:space="preserve"> accurate </w:t>
      </w:r>
      <w:r w:rsidR="000B6F5B" w:rsidRPr="00C574FE">
        <w:t>coarse-grain details</w:t>
      </w:r>
      <w:r w:rsidRPr="00C574FE">
        <w:t>. W</w:t>
      </w:r>
      <w:r w:rsidR="001247FA" w:rsidRPr="00C574FE">
        <w:t xml:space="preserve">e asked </w:t>
      </w:r>
      <w:r w:rsidRPr="00C574FE">
        <w:t>college students and community members</w:t>
      </w:r>
      <w:r w:rsidR="000B6F5B" w:rsidRPr="00C574FE">
        <w:t xml:space="preserve"> </w:t>
      </w:r>
      <w:r w:rsidR="00731FAF" w:rsidRPr="00C574FE">
        <w:t xml:space="preserve">(aged 17 to 62 years) who viewed a video of a simulated crime </w:t>
      </w:r>
      <w:r w:rsidR="001247FA" w:rsidRPr="00C574FE">
        <w:t xml:space="preserve">to </w:t>
      </w:r>
      <w:r w:rsidRPr="00C574FE">
        <w:t>answer interviewers’ questions at coarse- and fine-grained levels of detail and measured the quantity and accuracy of their responses</w:t>
      </w:r>
      <w:r w:rsidR="000B6F5B" w:rsidRPr="00C574FE">
        <w:t xml:space="preserve">.  </w:t>
      </w:r>
      <w:r w:rsidR="00D42F31" w:rsidRPr="00C574FE">
        <w:t>T</w:t>
      </w:r>
      <w:r w:rsidR="001247FA" w:rsidRPr="00C574FE">
        <w:t xml:space="preserve">hree </w:t>
      </w:r>
      <w:r w:rsidR="000B6F5B" w:rsidRPr="00C574FE">
        <w:t xml:space="preserve">experiments </w:t>
      </w:r>
      <w:r w:rsidR="001247FA" w:rsidRPr="00C574FE">
        <w:t>(</w:t>
      </w:r>
      <w:r w:rsidR="00731FAF" w:rsidRPr="00C574FE">
        <w:t xml:space="preserve">overall </w:t>
      </w:r>
      <w:r w:rsidR="001247FA" w:rsidRPr="00C574FE">
        <w:rPr>
          <w:i/>
        </w:rPr>
        <w:t>N</w:t>
      </w:r>
      <w:r w:rsidR="00731FAF" w:rsidRPr="00C574FE">
        <w:t xml:space="preserve"> </w:t>
      </w:r>
      <w:r w:rsidR="001247FA" w:rsidRPr="00C574FE">
        <w:t xml:space="preserve">= </w:t>
      </w:r>
      <w:r w:rsidR="00731FAF" w:rsidRPr="00C574FE">
        <w:t>219</w:t>
      </w:r>
      <w:r w:rsidR="001247FA" w:rsidRPr="00C574FE">
        <w:t>)</w:t>
      </w:r>
      <w:r w:rsidR="00731FAF" w:rsidRPr="00C574FE">
        <w:t xml:space="preserve"> </w:t>
      </w:r>
      <w:r w:rsidR="000B6F5B" w:rsidRPr="00C574FE">
        <w:t xml:space="preserve">also (a) provided comparative data for participants who were interviewed using </w:t>
      </w:r>
      <w:r w:rsidR="00E62539" w:rsidRPr="00C574FE">
        <w:t xml:space="preserve">the open-ended Self-Administered Interview (Gabbert, Hope, &amp; Fisher, 2009) or </w:t>
      </w:r>
      <w:r w:rsidR="000B6F5B" w:rsidRPr="00C574FE">
        <w:t xml:space="preserve">one of </w:t>
      </w:r>
      <w:r w:rsidR="00E62539" w:rsidRPr="00C574FE">
        <w:t xml:space="preserve">two “report everything” </w:t>
      </w:r>
      <w:r w:rsidR="000B6F5B" w:rsidRPr="00C574FE">
        <w:t>open-ended procedures, (b) tested the efficacy of the procedure using both written and verbal interviews, and (</w:t>
      </w:r>
      <w:r w:rsidR="00707F6F" w:rsidRPr="00C574FE">
        <w:t>c</w:t>
      </w:r>
      <w:r w:rsidR="000B6F5B" w:rsidRPr="00C574FE">
        <w:t xml:space="preserve">) examined the generality of the findings across different encoding stimuli which required variations in the types of cued recall questions asked.  </w:t>
      </w:r>
      <w:r w:rsidR="00B246EB" w:rsidRPr="00C574FE">
        <w:t>Coarse-grain r</w:t>
      </w:r>
      <w:r w:rsidR="000B6F5B" w:rsidRPr="00C574FE">
        <w:t xml:space="preserve">eporting seldom occurred under </w:t>
      </w:r>
      <w:r w:rsidR="00E62539" w:rsidRPr="00C574FE">
        <w:t xml:space="preserve">the </w:t>
      </w:r>
      <w:r w:rsidR="000B6F5B" w:rsidRPr="00C574FE">
        <w:t xml:space="preserve">free recall interview conditions.  </w:t>
      </w:r>
      <w:r w:rsidR="00707F6F" w:rsidRPr="00C574FE">
        <w:t xml:space="preserve">Witnesses </w:t>
      </w:r>
      <w:r w:rsidR="000B6F5B" w:rsidRPr="00C574FE">
        <w:t xml:space="preserve">provided abundant coarse-grain details </w:t>
      </w:r>
      <w:r w:rsidR="00430680" w:rsidRPr="00C574FE">
        <w:t xml:space="preserve">when required to respond to probes about specific details (i.e., </w:t>
      </w:r>
      <w:r w:rsidR="000B6F5B" w:rsidRPr="00C574FE">
        <w:t>cued recall forced report conditions</w:t>
      </w:r>
      <w:r w:rsidR="00132F31" w:rsidRPr="00C574FE">
        <w:t>)</w:t>
      </w:r>
      <w:r w:rsidR="000B6F5B" w:rsidRPr="00C574FE">
        <w:t xml:space="preserve"> – without </w:t>
      </w:r>
      <w:r w:rsidR="00C92593" w:rsidRPr="00C574FE">
        <w:t xml:space="preserve">obvious </w:t>
      </w:r>
      <w:r w:rsidR="000B6F5B" w:rsidRPr="00C574FE">
        <w:t xml:space="preserve">cost to </w:t>
      </w:r>
      <w:r w:rsidR="00A751E9" w:rsidRPr="00C574FE">
        <w:t xml:space="preserve">overall </w:t>
      </w:r>
      <w:r w:rsidR="000B6F5B" w:rsidRPr="00C574FE">
        <w:t xml:space="preserve">accuracy relative to </w:t>
      </w:r>
      <w:r w:rsidR="00062290" w:rsidRPr="00C574FE">
        <w:t xml:space="preserve">accuracy of similar detail reported under </w:t>
      </w:r>
      <w:r w:rsidR="000B6F5B" w:rsidRPr="00C574FE">
        <w:t xml:space="preserve">free recall conditions – regardless of whether they responded on a written questionnaire or in a face-to-face individual interview.  </w:t>
      </w:r>
      <w:r w:rsidR="00610B44" w:rsidRPr="00C574FE">
        <w:t>T</w:t>
      </w:r>
      <w:r w:rsidR="000B6F5B" w:rsidRPr="00C574FE">
        <w:t xml:space="preserve">hese experiments suggest that a procedure that requires cued recall forced reporting of coarse-grain detail </w:t>
      </w:r>
      <w:r w:rsidR="00C92593" w:rsidRPr="00C574FE">
        <w:t xml:space="preserve">may </w:t>
      </w:r>
      <w:r w:rsidR="000B6F5B" w:rsidRPr="00C574FE">
        <w:t xml:space="preserve">offer potential </w:t>
      </w:r>
      <w:r w:rsidR="00E62539" w:rsidRPr="00C574FE">
        <w:t xml:space="preserve">in </w:t>
      </w:r>
      <w:r w:rsidR="00C2406A" w:rsidRPr="00C574FE">
        <w:t>certain</w:t>
      </w:r>
      <w:r w:rsidR="00E62539" w:rsidRPr="00C574FE">
        <w:t xml:space="preserve"> investigative situations </w:t>
      </w:r>
      <w:r w:rsidR="000B6F5B" w:rsidRPr="00C574FE">
        <w:t>as a</w:t>
      </w:r>
      <w:r w:rsidR="00A751E9" w:rsidRPr="00C574FE">
        <w:t>n</w:t>
      </w:r>
      <w:r w:rsidR="000B6F5B" w:rsidRPr="00C574FE">
        <w:t xml:space="preserve"> adjunct to the widely recommended open-ended forensic interviewing techniques</w:t>
      </w:r>
      <w:r w:rsidR="00610B44" w:rsidRPr="00C574FE">
        <w:t>.</w:t>
      </w:r>
    </w:p>
    <w:p w14:paraId="3A148D45" w14:textId="77777777" w:rsidR="00C0122C" w:rsidRDefault="00A22C6D" w:rsidP="00A22C6D">
      <w:r w:rsidRPr="00C0122C">
        <w:rPr>
          <w:b/>
        </w:rPr>
        <w:t>Public Significance Statement</w:t>
      </w:r>
      <w:r w:rsidRPr="00C574FE">
        <w:t xml:space="preserve">.  </w:t>
      </w:r>
      <w:r w:rsidR="00C0122C">
        <w:t>W</w:t>
      </w:r>
      <w:r w:rsidRPr="00C574FE">
        <w:t>itnesses to crimes sometimes volunteer inaccurate fine-grain detail (e.g., purple getaway car) rather than accurate coarse</w:t>
      </w:r>
      <w:r w:rsidR="00C0122C">
        <w:t>-grain</w:t>
      </w:r>
      <w:r w:rsidRPr="00C574FE">
        <w:t xml:space="preserve"> or broad detail (e.g., dark-colored getaway car) despite the latter being potentially</w:t>
      </w:r>
      <w:r w:rsidR="00C0122C">
        <w:t xml:space="preserve"> </w:t>
      </w:r>
      <w:r w:rsidRPr="00C574FE">
        <w:t>valuable in some investigative contexts</w:t>
      </w:r>
      <w:r w:rsidR="00C0122C">
        <w:t xml:space="preserve"> (e.g., review of CCTV footage)</w:t>
      </w:r>
      <w:r w:rsidRPr="00C574FE">
        <w:t>.  Requiring witnesses to give coarse-grain or general answers to interviewers’ questions produced a substantial amount of accurate information that was not volunteered in open-ended interviews, suggesting a possible way of supplementing currently recommended open-interviewing techniques.</w:t>
      </w:r>
    </w:p>
    <w:p w14:paraId="22F73A4C" w14:textId="0AA9A2ED" w:rsidR="00A22C6D" w:rsidRPr="00C574FE" w:rsidRDefault="00A22C6D" w:rsidP="00A22C6D">
      <w:r w:rsidRPr="00C0122C">
        <w:rPr>
          <w:b/>
        </w:rPr>
        <w:t xml:space="preserve">Key </w:t>
      </w:r>
      <w:r w:rsidR="00660A7C" w:rsidRPr="00C0122C">
        <w:rPr>
          <w:b/>
        </w:rPr>
        <w:t>Words</w:t>
      </w:r>
      <w:r w:rsidR="00660A7C" w:rsidRPr="00C574FE">
        <w:t>:</w:t>
      </w:r>
      <w:r w:rsidR="002D4BAF" w:rsidRPr="00C574FE">
        <w:t xml:space="preserve">  eyewitness memory, investigative interviewing</w:t>
      </w:r>
      <w:r w:rsidR="008807DF" w:rsidRPr="00C574FE">
        <w:t>, metamemory</w:t>
      </w:r>
      <w:r w:rsidR="00A87082" w:rsidRPr="00C574FE">
        <w:t>, cued recall</w:t>
      </w:r>
    </w:p>
    <w:p w14:paraId="2304391C" w14:textId="77777777" w:rsidR="00A22C6D" w:rsidRPr="00C574FE" w:rsidRDefault="00A22C6D" w:rsidP="00A22C6D">
      <w:pPr>
        <w:sectPr w:rsidR="00A22C6D" w:rsidRPr="00C574FE" w:rsidSect="00A22C6D">
          <w:headerReference w:type="default" r:id="rId10"/>
          <w:pgSz w:w="11906" w:h="16838"/>
          <w:pgMar w:top="1134" w:right="1134" w:bottom="1134" w:left="1134" w:header="709" w:footer="709" w:gutter="0"/>
          <w:cols w:space="708"/>
          <w:docGrid w:linePitch="360"/>
        </w:sectPr>
      </w:pPr>
    </w:p>
    <w:p w14:paraId="10EA6F5C" w14:textId="77777777" w:rsidR="00E53DF0" w:rsidRPr="00C574FE" w:rsidRDefault="00E53DF0">
      <w:pPr>
        <w:tabs>
          <w:tab w:val="clear" w:pos="8640"/>
        </w:tabs>
        <w:spacing w:line="240" w:lineRule="auto"/>
      </w:pPr>
    </w:p>
    <w:p w14:paraId="0CBEE82E" w14:textId="68B6524D" w:rsidR="000C1CBE" w:rsidRPr="00C574FE" w:rsidRDefault="002D4BAF" w:rsidP="000C1CBE">
      <w:pPr>
        <w:pStyle w:val="AuthorInfo"/>
      </w:pPr>
      <w:r w:rsidRPr="00C574FE">
        <w:t>Interviewing Witnesses: Eliciting Coarse-Grain Information</w:t>
      </w:r>
    </w:p>
    <w:p w14:paraId="62DA9B08" w14:textId="1C4CBDEC" w:rsidR="00E37B37" w:rsidRPr="00C574FE" w:rsidRDefault="00F8475C" w:rsidP="00441F8A">
      <w:pPr>
        <w:pStyle w:val="BodyText"/>
        <w:ind w:firstLine="425"/>
      </w:pPr>
      <w:r w:rsidRPr="00C574FE">
        <w:t>A k</w:t>
      </w:r>
      <w:r w:rsidR="00E53DF0" w:rsidRPr="00C574FE">
        <w:t xml:space="preserve">ey objective for forensic interviewers </w:t>
      </w:r>
      <w:r w:rsidRPr="00C574FE">
        <w:t xml:space="preserve">is to </w:t>
      </w:r>
      <w:r w:rsidR="00E53DF0" w:rsidRPr="00C574FE">
        <w:t>maximiz</w:t>
      </w:r>
      <w:r w:rsidRPr="00C574FE">
        <w:t xml:space="preserve">e </w:t>
      </w:r>
      <w:r w:rsidR="00E53DF0" w:rsidRPr="00C574FE">
        <w:t>the amount</w:t>
      </w:r>
      <w:r w:rsidR="004A42B7" w:rsidRPr="00C574FE">
        <w:t xml:space="preserve"> and quality </w:t>
      </w:r>
      <w:r w:rsidR="00E53DF0" w:rsidRPr="00C574FE">
        <w:t xml:space="preserve">of </w:t>
      </w:r>
      <w:r w:rsidRPr="00C574FE">
        <w:t xml:space="preserve">the </w:t>
      </w:r>
      <w:r w:rsidR="00E53DF0" w:rsidRPr="00C574FE">
        <w:t>information obtained from eyewitnesses to crimes and other events (</w:t>
      </w:r>
      <w:r w:rsidR="00510D76" w:rsidRPr="00C574FE">
        <w:t>Vrij, Hope</w:t>
      </w:r>
      <w:r w:rsidR="00255CA1" w:rsidRPr="00C574FE">
        <w:t>,</w:t>
      </w:r>
      <w:r w:rsidR="00510D76" w:rsidRPr="00C574FE">
        <w:t xml:space="preserve"> &amp; Fisher, 2014</w:t>
      </w:r>
      <w:r w:rsidR="00BA7D97" w:rsidRPr="00C574FE">
        <w:t>)</w:t>
      </w:r>
      <w:r w:rsidR="004A42B7" w:rsidRPr="00C574FE">
        <w:t xml:space="preserve">. </w:t>
      </w:r>
      <w:r w:rsidR="00A66497" w:rsidRPr="00C574FE">
        <w:t xml:space="preserve"> </w:t>
      </w:r>
      <w:r w:rsidR="004A42B7" w:rsidRPr="00C574FE">
        <w:t xml:space="preserve">The </w:t>
      </w:r>
      <w:r w:rsidR="00E62539" w:rsidRPr="00C574FE">
        <w:t xml:space="preserve">“quality” of information (i.e., its contribution to advancing an investigation and incriminating or exonerating a suspect) </w:t>
      </w:r>
      <w:r w:rsidR="004A42B7" w:rsidRPr="00C574FE">
        <w:t>is obviously related to its accuracy</w:t>
      </w:r>
      <w:r w:rsidR="00A66497" w:rsidRPr="00C574FE">
        <w:t>.  B</w:t>
      </w:r>
      <w:r w:rsidR="004A42B7" w:rsidRPr="00C574FE">
        <w:t xml:space="preserve">ut </w:t>
      </w:r>
      <w:r w:rsidR="004E5F13" w:rsidRPr="00C574FE">
        <w:t>quality</w:t>
      </w:r>
      <w:r w:rsidR="004A42B7" w:rsidRPr="00C574FE">
        <w:t xml:space="preserve"> is also likely to be determined by what </w:t>
      </w:r>
      <w:r w:rsidR="004E5F13" w:rsidRPr="00C574FE">
        <w:t>the information</w:t>
      </w:r>
      <w:r w:rsidR="004A42B7" w:rsidRPr="00C574FE">
        <w:t xml:space="preserve"> adds to the overall body of evidence</w:t>
      </w:r>
      <w:r w:rsidR="00A66497" w:rsidRPr="00C574FE">
        <w:t xml:space="preserve">, with what may seem like a trivial piece of information in one evidential context proving to be invaluable in another.  </w:t>
      </w:r>
      <w:r w:rsidR="00E53DF0" w:rsidRPr="00C574FE">
        <w:t xml:space="preserve">Not surprisingly, a major focus in forensic interviewing research has been the investigation of interviewing approaches designed </w:t>
      </w:r>
      <w:r w:rsidRPr="00C574FE">
        <w:t xml:space="preserve">to </w:t>
      </w:r>
      <w:r w:rsidR="00E53DF0" w:rsidRPr="00C574FE">
        <w:t>increas</w:t>
      </w:r>
      <w:r w:rsidRPr="00C574FE">
        <w:t>e</w:t>
      </w:r>
      <w:r w:rsidR="00E53DF0" w:rsidRPr="00C574FE">
        <w:t xml:space="preserve"> the </w:t>
      </w:r>
      <w:r w:rsidR="00D42F31" w:rsidRPr="00C574FE">
        <w:t xml:space="preserve">quantity and </w:t>
      </w:r>
      <w:r w:rsidR="00E85A23" w:rsidRPr="00C574FE">
        <w:t>quality of witness reports</w:t>
      </w:r>
      <w:r w:rsidR="00E53DF0" w:rsidRPr="00C574FE">
        <w:t>.  This emphasis contributed to the development of interviewing techniques such as the Cognitive Interview (Fisher &amp; Geiselman, 1992) and the Self-Administered Interview (SAI</w:t>
      </w:r>
      <w:r w:rsidR="007C09EF" w:rsidRPr="00C574FE">
        <w:rPr>
          <w:vertAlign w:val="superscript"/>
        </w:rPr>
        <w:t>©</w:t>
      </w:r>
      <w:r w:rsidR="00E53DF0" w:rsidRPr="00C574FE">
        <w:t xml:space="preserve">, Gabbert, Hope, &amp; Fisher, 2009), techniques </w:t>
      </w:r>
      <w:r w:rsidR="00CE522B" w:rsidRPr="00C574FE">
        <w:t xml:space="preserve">based on strong advocacy for </w:t>
      </w:r>
      <w:r w:rsidR="00E53DF0" w:rsidRPr="00C574FE">
        <w:t>the use of open questions</w:t>
      </w:r>
      <w:r w:rsidR="00654343" w:rsidRPr="00C574FE">
        <w:t xml:space="preserve"> that </w:t>
      </w:r>
      <w:r w:rsidR="00E53DF0" w:rsidRPr="00C574FE">
        <w:t xml:space="preserve">allow for an unlimited free-recall response from an interviewee (e.g., </w:t>
      </w:r>
      <w:r w:rsidR="00E53DF0" w:rsidRPr="00C574FE">
        <w:rPr>
          <w:i/>
        </w:rPr>
        <w:t>Tell me in your own words what happened</w:t>
      </w:r>
      <w:r w:rsidR="00E53DF0" w:rsidRPr="00C574FE">
        <w:t>.)</w:t>
      </w:r>
      <w:r w:rsidR="00E85A23" w:rsidRPr="00C574FE">
        <w:t xml:space="preserve"> and </w:t>
      </w:r>
      <w:r w:rsidR="00D42F31" w:rsidRPr="00C574FE">
        <w:t xml:space="preserve">yield higher accuracy </w:t>
      </w:r>
      <w:r w:rsidR="003A5394" w:rsidRPr="00C574FE">
        <w:t xml:space="preserve">than </w:t>
      </w:r>
      <w:r w:rsidR="00E53DF0" w:rsidRPr="00C574FE">
        <w:t>closed questions</w:t>
      </w:r>
      <w:r w:rsidR="00990202" w:rsidRPr="00C574FE">
        <w:t xml:space="preserve"> (Fisher, Falkner, Trevisan, &amp; McCauley, 2000)</w:t>
      </w:r>
      <w:r w:rsidR="00E53DF0" w:rsidRPr="00C574FE">
        <w:t xml:space="preserve">.  </w:t>
      </w:r>
      <w:r w:rsidR="00E85A23" w:rsidRPr="00C574FE">
        <w:t xml:space="preserve">Yet, </w:t>
      </w:r>
      <w:r w:rsidR="00990202" w:rsidRPr="00C574FE">
        <w:t xml:space="preserve">witnesses’ reports are often somewhat less detailed </w:t>
      </w:r>
      <w:r w:rsidR="006C2810" w:rsidRPr="00C574FE">
        <w:t xml:space="preserve">or complete </w:t>
      </w:r>
      <w:r w:rsidR="00990202" w:rsidRPr="00C574FE">
        <w:t>than</w:t>
      </w:r>
      <w:r w:rsidR="00A87082" w:rsidRPr="00C574FE">
        <w:t xml:space="preserve"> necessary to pursue effective investigations</w:t>
      </w:r>
      <w:r w:rsidR="00140D07" w:rsidRPr="00C574FE">
        <w:t xml:space="preserve"> (Gabbert, Hope, Carter, Boon, &amp; Fisher, 2015)</w:t>
      </w:r>
      <w:r w:rsidR="00CE522B" w:rsidRPr="00C574FE">
        <w:t xml:space="preserve">. Consequently, </w:t>
      </w:r>
      <w:r w:rsidR="00990202" w:rsidRPr="00C574FE">
        <w:t xml:space="preserve">interviewers </w:t>
      </w:r>
      <w:r w:rsidR="006C2810" w:rsidRPr="00C574FE">
        <w:t xml:space="preserve">typically </w:t>
      </w:r>
      <w:r w:rsidR="00990202" w:rsidRPr="00C574FE">
        <w:t xml:space="preserve">need to probe for further detail using </w:t>
      </w:r>
      <w:r w:rsidR="006C2810" w:rsidRPr="00C574FE">
        <w:t>further open-ended promp</w:t>
      </w:r>
      <w:r w:rsidR="00BD6A76" w:rsidRPr="00C574FE">
        <w:t>t</w:t>
      </w:r>
      <w:r w:rsidR="006C2810" w:rsidRPr="00C574FE">
        <w:t xml:space="preserve">s and </w:t>
      </w:r>
      <w:r w:rsidR="00990202" w:rsidRPr="00C574FE">
        <w:t>targeted questioning (</w:t>
      </w:r>
      <w:r w:rsidR="006C2810" w:rsidRPr="00C574FE">
        <w:t xml:space="preserve">Lamb, Hershkowitz, Orbach, &amp; Esplin, 2008; </w:t>
      </w:r>
      <w:r w:rsidR="00990202" w:rsidRPr="00C574FE">
        <w:t>Powell, Fisher, &amp; Wright, 2005).</w:t>
      </w:r>
    </w:p>
    <w:p w14:paraId="3BA62592" w14:textId="00CFF194" w:rsidR="004A3CD2" w:rsidRPr="00C574FE" w:rsidRDefault="00E37B37" w:rsidP="00707F6F">
      <w:pPr>
        <w:pStyle w:val="BodyText"/>
        <w:ind w:firstLine="425"/>
      </w:pPr>
      <w:r w:rsidRPr="00C574FE">
        <w:t>O</w:t>
      </w:r>
      <w:r w:rsidR="00401FC8" w:rsidRPr="00C574FE">
        <w:t xml:space="preserve">ne </w:t>
      </w:r>
      <w:r w:rsidRPr="00C574FE">
        <w:t xml:space="preserve">pattern </w:t>
      </w:r>
      <w:r w:rsidR="00401FC8" w:rsidRPr="00C574FE">
        <w:t>that has emerged from recent research is that</w:t>
      </w:r>
      <w:r w:rsidR="008E3B08" w:rsidRPr="00C574FE">
        <w:t xml:space="preserve"> </w:t>
      </w:r>
      <w:r w:rsidR="00401FC8" w:rsidRPr="00C574FE">
        <w:t>witnesses</w:t>
      </w:r>
      <w:r w:rsidR="000F4625" w:rsidRPr="00C574FE">
        <w:t xml:space="preserve"> may</w:t>
      </w:r>
      <w:r w:rsidR="00401FC8" w:rsidRPr="00C574FE">
        <w:t xml:space="preserve"> fail to report </w:t>
      </w:r>
      <w:r w:rsidR="001915EF" w:rsidRPr="00C574FE">
        <w:t xml:space="preserve">a </w:t>
      </w:r>
      <w:r w:rsidR="00401FC8" w:rsidRPr="00C574FE">
        <w:t>coarse</w:t>
      </w:r>
      <w:r w:rsidR="001915EF" w:rsidRPr="00C574FE">
        <w:t>-</w:t>
      </w:r>
      <w:r w:rsidR="00401FC8" w:rsidRPr="00C574FE">
        <w:t xml:space="preserve">grain </w:t>
      </w:r>
      <w:r w:rsidR="001915EF" w:rsidRPr="00C574FE">
        <w:t>detail</w:t>
      </w:r>
      <w:r w:rsidR="00401FC8" w:rsidRPr="00C574FE">
        <w:t xml:space="preserve"> </w:t>
      </w:r>
      <w:r w:rsidR="001915EF" w:rsidRPr="00C574FE">
        <w:t>(</w:t>
      </w:r>
      <w:r w:rsidR="009F1CFD" w:rsidRPr="00C574FE">
        <w:t>e.g.,</w:t>
      </w:r>
      <w:r w:rsidR="001915EF" w:rsidRPr="00C574FE">
        <w:t xml:space="preserve"> an imprecise or broad detail</w:t>
      </w:r>
      <w:r w:rsidR="00D42F31" w:rsidRPr="00C574FE">
        <w:t>,</w:t>
      </w:r>
      <w:r w:rsidR="001915EF" w:rsidRPr="00C574FE">
        <w:t xml:space="preserve"> such as </w:t>
      </w:r>
      <w:r w:rsidR="009F1CFD" w:rsidRPr="00C574FE">
        <w:t xml:space="preserve">the robber </w:t>
      </w:r>
      <w:r w:rsidR="009B17EE" w:rsidRPr="00C574FE">
        <w:t xml:space="preserve">was driving a </w:t>
      </w:r>
      <w:r w:rsidR="009F1CFD" w:rsidRPr="00C574FE">
        <w:t xml:space="preserve">light-colored </w:t>
      </w:r>
      <w:r w:rsidR="009B17EE" w:rsidRPr="00C574FE">
        <w:t>car</w:t>
      </w:r>
      <w:r w:rsidR="00D50507" w:rsidRPr="00C574FE">
        <w:t>)</w:t>
      </w:r>
      <w:r w:rsidR="009F1CFD" w:rsidRPr="00C574FE">
        <w:t xml:space="preserve"> </w:t>
      </w:r>
      <w:r w:rsidR="00401FC8" w:rsidRPr="00C574FE">
        <w:t xml:space="preserve">that is both accessible and quite likely to be accurate, </w:t>
      </w:r>
      <w:r w:rsidR="00654343" w:rsidRPr="00C574FE">
        <w:t>opting</w:t>
      </w:r>
      <w:r w:rsidR="00401FC8" w:rsidRPr="00C574FE">
        <w:t xml:space="preserve"> instead to report </w:t>
      </w:r>
      <w:r w:rsidR="009F1CFD" w:rsidRPr="00C574FE">
        <w:t xml:space="preserve">a </w:t>
      </w:r>
      <w:r w:rsidR="00401FC8" w:rsidRPr="00C574FE">
        <w:t xml:space="preserve">fine-grain detail </w:t>
      </w:r>
      <w:r w:rsidR="009F1CFD" w:rsidRPr="00C574FE">
        <w:t xml:space="preserve">(e.g., the robber </w:t>
      </w:r>
      <w:r w:rsidR="009B17EE" w:rsidRPr="00C574FE">
        <w:t xml:space="preserve">was driving a </w:t>
      </w:r>
      <w:r w:rsidR="00D42F31" w:rsidRPr="00C574FE">
        <w:t>pale</w:t>
      </w:r>
      <w:r w:rsidR="009B17EE" w:rsidRPr="00C574FE">
        <w:t xml:space="preserve"> </w:t>
      </w:r>
      <w:r w:rsidR="00D42F31" w:rsidRPr="00C574FE">
        <w:t>blue</w:t>
      </w:r>
      <w:r w:rsidR="009B17EE" w:rsidRPr="00C574FE">
        <w:t>-colored car</w:t>
      </w:r>
      <w:r w:rsidR="009F1CFD" w:rsidRPr="00C574FE">
        <w:t xml:space="preserve">) </w:t>
      </w:r>
      <w:r w:rsidR="00401FC8" w:rsidRPr="00C574FE">
        <w:t>that may be inaccurate</w:t>
      </w:r>
      <w:r w:rsidR="00D74B04" w:rsidRPr="00C574FE">
        <w:t xml:space="preserve"> (e.g., McCallum, Brewer, &amp; Weber, 2016)</w:t>
      </w:r>
      <w:r w:rsidR="00401FC8" w:rsidRPr="00C574FE">
        <w:t xml:space="preserve">.  </w:t>
      </w:r>
      <w:r w:rsidR="004A3CD2" w:rsidRPr="00C574FE">
        <w:t xml:space="preserve">It is obvious that fine-grain detail can help shape the direction of a police investigation and, when provided in courtroom testimony, enhance the credibility of the witness’s testimony (Bell &amp; Loftus, 1988, 1989).  It is less obvious why </w:t>
      </w:r>
      <w:r w:rsidR="004A3CD2" w:rsidRPr="00C574FE">
        <w:lastRenderedPageBreak/>
        <w:t xml:space="preserve">coarse-grain detail may be valuable.  Although a coarse-grain detail, when considered in isolation, may seem so imprecise as to be non-helpful for investigating police officers, it could conceivably assist an investigation.  For example, if the witness reported that the robber was driving a light-colored car, it might help the police to narrow their pool of suspects (perhaps discarding a suspect who always drove a dark blue car) or it might speak to the reliability of other witness statements that mentioned a white or beige car, thereby increasing the investigator’s confidence in the direction the investigation should pursue.  More pragmatically, obtaining coarse-grain information of this nature could directly inform the allocation of resources in real time (e.g., facilitate selective review of CCTV footage to identify a light-colored getaway car in the vicinity).  Similarly, if the witness described the thief as being shortish, perhaps as short as 160 cm but certainly no taller than 175 cm, it may persuade the police to look for an alternative suspect to the 185 cm individual they had initially considered.  </w:t>
      </w:r>
      <w:r w:rsidR="00A72083" w:rsidRPr="00C574FE">
        <w:t>[</w:t>
      </w:r>
      <w:r w:rsidR="006030DB" w:rsidRPr="00C574FE">
        <w:t>Just a few examples of other items that might manifest in coarse- or fine-grain reports are hair length, hair color, clothing color, the duration of some part of the event, the number of people involved, the positioning of individuals involved, and so on.</w:t>
      </w:r>
      <w:r w:rsidR="00A72083" w:rsidRPr="00C574FE">
        <w:t>]</w:t>
      </w:r>
      <w:r w:rsidR="006030DB" w:rsidRPr="00C574FE">
        <w:t xml:space="preserve">  </w:t>
      </w:r>
      <w:r w:rsidR="004A3CD2" w:rsidRPr="00C574FE">
        <w:t>In isolation</w:t>
      </w:r>
      <w:r w:rsidR="00A72083" w:rsidRPr="00C574FE">
        <w:t>,</w:t>
      </w:r>
      <w:r w:rsidR="004A3CD2" w:rsidRPr="00C574FE">
        <w:t xml:space="preserve"> the coarse-grain </w:t>
      </w:r>
      <w:r w:rsidR="006030DB" w:rsidRPr="00C574FE">
        <w:t xml:space="preserve">version of such items </w:t>
      </w:r>
      <w:r w:rsidR="004A3CD2" w:rsidRPr="00C574FE">
        <w:t>may not be compelling or incriminating.  But even seemingly trivial coarse-grain information may be informative when combined with other evidence that emerges during an investigation.</w:t>
      </w:r>
    </w:p>
    <w:p w14:paraId="56F00D6C" w14:textId="283CDA28" w:rsidR="00320D0D" w:rsidRPr="00C574FE" w:rsidRDefault="002D2932" w:rsidP="0041203E">
      <w:pPr>
        <w:pStyle w:val="BodyText"/>
        <w:ind w:firstLine="425"/>
      </w:pPr>
      <w:r w:rsidRPr="00C574FE">
        <w:t xml:space="preserve">Yet, despite </w:t>
      </w:r>
      <w:r w:rsidR="008922B1" w:rsidRPr="00C574FE">
        <w:t xml:space="preserve">evidence </w:t>
      </w:r>
      <w:r w:rsidR="002B6068" w:rsidRPr="00C574FE">
        <w:t xml:space="preserve">indicating </w:t>
      </w:r>
      <w:r w:rsidR="008922B1" w:rsidRPr="00C574FE">
        <w:t xml:space="preserve">that individuals are able to regulate their reporting of fine- and coarse-grain details </w:t>
      </w:r>
      <w:r w:rsidR="002B6068" w:rsidRPr="00C574FE">
        <w:t xml:space="preserve">in </w:t>
      </w:r>
      <w:r w:rsidR="008922B1" w:rsidRPr="00C574FE">
        <w:t xml:space="preserve">order to </w:t>
      </w:r>
      <w:r w:rsidR="002B6068" w:rsidRPr="00C574FE">
        <w:t>adaptively</w:t>
      </w:r>
      <w:r w:rsidR="00B51A42" w:rsidRPr="00C574FE">
        <w:t xml:space="preserve"> </w:t>
      </w:r>
      <w:r w:rsidR="008922B1" w:rsidRPr="00C574FE">
        <w:t>control output quantity and accuracy (</w:t>
      </w:r>
      <w:r w:rsidR="00AA4B53" w:rsidRPr="00C574FE">
        <w:t>e.g., G</w:t>
      </w:r>
      <w:r w:rsidR="00057AB1" w:rsidRPr="00C574FE">
        <w:t>oldsmith, Koriat, &amp; Weinberg-Eliezer, 2002</w:t>
      </w:r>
      <w:r w:rsidR="008922B1" w:rsidRPr="00C574FE">
        <w:t xml:space="preserve">; Weber &amp; Brewer, 2008), </w:t>
      </w:r>
      <w:r w:rsidR="00B51A42" w:rsidRPr="00C574FE">
        <w:t xml:space="preserve">coarse-grain </w:t>
      </w:r>
      <w:r w:rsidR="00B854ED" w:rsidRPr="00C574FE">
        <w:t xml:space="preserve">details may be reported less frequently than </w:t>
      </w:r>
      <w:r w:rsidR="00E83984" w:rsidRPr="00C574FE">
        <w:t>is</w:t>
      </w:r>
      <w:r w:rsidR="00B854ED" w:rsidRPr="00C574FE">
        <w:t xml:space="preserve"> optimal from the perspective of maximizing the </w:t>
      </w:r>
      <w:r w:rsidR="00E83984" w:rsidRPr="00C574FE">
        <w:t xml:space="preserve">amount of accurate and forensically </w:t>
      </w:r>
      <w:r w:rsidR="00871F68" w:rsidRPr="00C574FE">
        <w:t>useful</w:t>
      </w:r>
      <w:r w:rsidR="00E83984" w:rsidRPr="00C574FE">
        <w:t xml:space="preserve"> information</w:t>
      </w:r>
      <w:r w:rsidR="00B854ED" w:rsidRPr="00C574FE">
        <w:t xml:space="preserve"> reported.</w:t>
      </w:r>
      <w:r w:rsidR="002F3682" w:rsidRPr="00C574FE">
        <w:t xml:space="preserve">  </w:t>
      </w:r>
      <w:r w:rsidR="00871F68" w:rsidRPr="00C574FE">
        <w:t xml:space="preserve">For example, </w:t>
      </w:r>
      <w:r w:rsidR="00E77857" w:rsidRPr="00C574FE">
        <w:t>i</w:t>
      </w:r>
      <w:r w:rsidR="007350DE" w:rsidRPr="00C574FE">
        <w:t xml:space="preserve">n two separate experiments McCallum et al. </w:t>
      </w:r>
      <w:r w:rsidR="00E77857" w:rsidRPr="00C574FE">
        <w:t xml:space="preserve">(2016) reported </w:t>
      </w:r>
      <w:r w:rsidR="007350DE" w:rsidRPr="00C574FE">
        <w:t xml:space="preserve">that, when witnesses were required to choose between a fine- and a coarse-grain response to an interviewer’s question, an incorrect fine-grain report was preferred to a correct coarse-grain report on 13-15% of occasions.  </w:t>
      </w:r>
      <w:r w:rsidR="00780546" w:rsidRPr="00C574FE">
        <w:t xml:space="preserve">McCallum </w:t>
      </w:r>
      <w:r w:rsidR="00780546" w:rsidRPr="00C574FE">
        <w:lastRenderedPageBreak/>
        <w:t xml:space="preserve">et al. (2016) examined the effect of various socially motivating conditions on reporting of fine-and coarse-grain information, with </w:t>
      </w:r>
      <w:r w:rsidR="00A72083" w:rsidRPr="00C574FE">
        <w:t xml:space="preserve">a signal detection analysis </w:t>
      </w:r>
      <w:r w:rsidR="00780546" w:rsidRPr="00C574FE">
        <w:t xml:space="preserve">highlighting a response bias towards reporting fine- rather than coarse-grain information.  They also found that this response bias was more marked when the experimental conditions were such that any perceived consequences associated with reporting were minimized.  Specifically, </w:t>
      </w:r>
      <w:r w:rsidR="00320D0D" w:rsidRPr="00C574FE">
        <w:t>the tendency to avoid coarse-grain reporting that could have optimized accuracy was less when social (i.e., an evaluative audience) and financial contingencies (i.e., a penalty for inaccuracy) were in place</w:t>
      </w:r>
      <w:r w:rsidR="00780546" w:rsidRPr="00C574FE">
        <w:t>.</w:t>
      </w:r>
    </w:p>
    <w:p w14:paraId="207002B3" w14:textId="1F08C868" w:rsidR="0008127A" w:rsidRPr="00C574FE" w:rsidRDefault="00E77857" w:rsidP="00E77857">
      <w:pPr>
        <w:ind w:firstLine="426"/>
      </w:pPr>
      <w:r w:rsidRPr="00C574FE">
        <w:t>In a different domain of memory reporting (i.e., answering general knowledge questions)</w:t>
      </w:r>
      <w:r w:rsidR="0008127A" w:rsidRPr="00C574FE">
        <w:t>, Ackerman and Gold</w:t>
      </w:r>
      <w:r w:rsidR="00CB5185" w:rsidRPr="00C574FE">
        <w:t>s</w:t>
      </w:r>
      <w:r w:rsidR="0008127A" w:rsidRPr="00C574FE">
        <w:t xml:space="preserve">mith (2008) demonstrated that people sometimes </w:t>
      </w:r>
      <w:r w:rsidR="00F16CBC" w:rsidRPr="00C574FE">
        <w:t xml:space="preserve">failed to </w:t>
      </w:r>
      <w:r w:rsidR="0008127A" w:rsidRPr="00C574FE">
        <w:t>provide coarse</w:t>
      </w:r>
      <w:r w:rsidR="00F16CBC" w:rsidRPr="00C574FE">
        <w:t>-</w:t>
      </w:r>
      <w:r w:rsidR="0008127A" w:rsidRPr="00C574FE">
        <w:t xml:space="preserve">grain answers to questions, despite </w:t>
      </w:r>
      <w:r w:rsidR="00F16CBC" w:rsidRPr="00C574FE">
        <w:t xml:space="preserve">having </w:t>
      </w:r>
      <w:r w:rsidR="0008127A" w:rsidRPr="00C574FE">
        <w:t>high confidence in the</w:t>
      </w:r>
      <w:r w:rsidR="00AA4B53" w:rsidRPr="00C574FE">
        <w:t>ir</w:t>
      </w:r>
      <w:r w:rsidR="0008127A" w:rsidRPr="00C574FE">
        <w:t xml:space="preserve"> prospective answer and th</w:t>
      </w:r>
      <w:r w:rsidR="00AA4B53" w:rsidRPr="00C574FE">
        <w:t>e</w:t>
      </w:r>
      <w:r w:rsidR="0008127A" w:rsidRPr="00C574FE">
        <w:t xml:space="preserve"> answer </w:t>
      </w:r>
      <w:r w:rsidR="00F16CBC" w:rsidRPr="00C574FE">
        <w:t>being</w:t>
      </w:r>
      <w:r w:rsidR="0008127A" w:rsidRPr="00C574FE">
        <w:t xml:space="preserve"> accurate.  Th</w:t>
      </w:r>
      <w:r w:rsidR="00F16CBC" w:rsidRPr="00C574FE">
        <w:t>ey hypothesized that this response pattern</w:t>
      </w:r>
      <w:r w:rsidR="0008127A" w:rsidRPr="00C574FE">
        <w:t xml:space="preserve"> </w:t>
      </w:r>
      <w:r w:rsidR="00F16CBC" w:rsidRPr="00C574FE">
        <w:t>reflected the individual’s belief that</w:t>
      </w:r>
      <w:r w:rsidR="0008127A" w:rsidRPr="00C574FE">
        <w:t xml:space="preserve"> their answer </w:t>
      </w:r>
      <w:r w:rsidR="00F16CBC" w:rsidRPr="00C574FE">
        <w:t>was</w:t>
      </w:r>
      <w:r w:rsidR="0008127A" w:rsidRPr="00C574FE">
        <w:t xml:space="preserve"> not sufficiently informative given the social communication context in which they</w:t>
      </w:r>
      <w:r w:rsidR="00F16CBC" w:rsidRPr="00C574FE">
        <w:t xml:space="preserve"> were</w:t>
      </w:r>
      <w:r w:rsidR="0008127A" w:rsidRPr="00C574FE">
        <w:t xml:space="preserve"> operating</w:t>
      </w:r>
      <w:r w:rsidR="00F16CBC" w:rsidRPr="00C574FE">
        <w:t xml:space="preserve"> (cf. Grice, 2002)</w:t>
      </w:r>
      <w:r w:rsidR="0008127A" w:rsidRPr="00C574FE">
        <w:t xml:space="preserve">.  </w:t>
      </w:r>
      <w:r w:rsidR="007E0003" w:rsidRPr="00C574FE">
        <w:t>Perhaps</w:t>
      </w:r>
      <w:r w:rsidR="00EC3683" w:rsidRPr="00C574FE">
        <w:t xml:space="preserve"> witnesses </w:t>
      </w:r>
      <w:r w:rsidR="0008127A" w:rsidRPr="00C574FE">
        <w:t>being interviewed about a crime might be extremely confident about some coarse grain detail</w:t>
      </w:r>
      <w:r w:rsidR="00006849" w:rsidRPr="00C574FE">
        <w:t>s</w:t>
      </w:r>
      <w:r w:rsidR="0008127A" w:rsidRPr="00C574FE">
        <w:t xml:space="preserve"> they recalled</w:t>
      </w:r>
      <w:r w:rsidR="00266123" w:rsidRPr="00C574FE">
        <w:t>,</w:t>
      </w:r>
      <w:r w:rsidR="0008127A" w:rsidRPr="00C574FE">
        <w:t xml:space="preserve"> but at the same time believe that the police would find </w:t>
      </w:r>
      <w:r w:rsidR="00006849" w:rsidRPr="00C574FE">
        <w:t xml:space="preserve">such details </w:t>
      </w:r>
      <w:r w:rsidR="0008127A" w:rsidRPr="00C574FE">
        <w:t xml:space="preserve">uninformative </w:t>
      </w:r>
      <w:r w:rsidR="00EC3683" w:rsidRPr="00C574FE">
        <w:t xml:space="preserve">(e.g., </w:t>
      </w:r>
      <w:r w:rsidR="0008127A" w:rsidRPr="00C574FE">
        <w:t xml:space="preserve">because </w:t>
      </w:r>
      <w:r w:rsidR="00006849" w:rsidRPr="00C574FE">
        <w:t xml:space="preserve">they </w:t>
      </w:r>
      <w:r w:rsidR="00EC3683" w:rsidRPr="00C574FE">
        <w:t xml:space="preserve">are </w:t>
      </w:r>
      <w:r w:rsidR="00AA4B53" w:rsidRPr="00C574FE">
        <w:t>too general or</w:t>
      </w:r>
      <w:r w:rsidR="0008127A" w:rsidRPr="00C574FE">
        <w:t xml:space="preserve"> </w:t>
      </w:r>
      <w:r w:rsidR="004E5F13" w:rsidRPr="00C574FE">
        <w:t xml:space="preserve">assumed </w:t>
      </w:r>
      <w:r w:rsidR="00AA4B53" w:rsidRPr="00C574FE">
        <w:t xml:space="preserve">to be </w:t>
      </w:r>
      <w:r w:rsidR="004E5F13" w:rsidRPr="00C574FE">
        <w:t xml:space="preserve">already </w:t>
      </w:r>
      <w:r w:rsidR="0008127A" w:rsidRPr="00C574FE">
        <w:t>known to the police.</w:t>
      </w:r>
      <w:r w:rsidR="00EC3683" w:rsidRPr="00C574FE">
        <w:t>)</w:t>
      </w:r>
      <w:r w:rsidR="0008127A" w:rsidRPr="00C574FE">
        <w:t xml:space="preserve">  Thus, they may respond “don’t know” </w:t>
      </w:r>
      <w:r w:rsidR="00CB4D5F" w:rsidRPr="00C574FE">
        <w:t>(e.g.</w:t>
      </w:r>
      <w:r w:rsidR="00266123" w:rsidRPr="00C574FE">
        <w:t>,</w:t>
      </w:r>
      <w:r w:rsidR="00CB4D5F" w:rsidRPr="00C574FE">
        <w:t xml:space="preserve"> Scoboria &amp; Fisico, 201</w:t>
      </w:r>
      <w:r w:rsidR="00F5052E" w:rsidRPr="00C574FE">
        <w:t>3</w:t>
      </w:r>
      <w:r w:rsidR="00CB4D5F" w:rsidRPr="00C574FE">
        <w:t>)</w:t>
      </w:r>
      <w:r w:rsidR="00EC3683" w:rsidRPr="00C574FE">
        <w:t xml:space="preserve"> or simply </w:t>
      </w:r>
      <w:r w:rsidR="0008127A" w:rsidRPr="00C574FE">
        <w:t xml:space="preserve">fail to </w:t>
      </w:r>
      <w:r w:rsidR="00EF23A4" w:rsidRPr="00C574FE">
        <w:t>volunteer</w:t>
      </w:r>
      <w:r w:rsidR="0008127A" w:rsidRPr="00C574FE">
        <w:t xml:space="preserve"> the item.  </w:t>
      </w:r>
    </w:p>
    <w:p w14:paraId="042447A0" w14:textId="25105E8F" w:rsidR="004C73CD" w:rsidRPr="00C574FE" w:rsidRDefault="00320D0D" w:rsidP="00FE3B28">
      <w:pPr>
        <w:ind w:firstLine="426"/>
      </w:pPr>
      <w:r w:rsidRPr="00C574FE">
        <w:t xml:space="preserve">Given these uncertainties about </w:t>
      </w:r>
      <w:r w:rsidR="00375381" w:rsidRPr="00C574FE">
        <w:t>coarse-grain reporting, t</w:t>
      </w:r>
      <w:r w:rsidR="004C73CD" w:rsidRPr="00C574FE">
        <w:t xml:space="preserve">he focus </w:t>
      </w:r>
      <w:r w:rsidR="00AA4B53" w:rsidRPr="00C574FE">
        <w:t>of</w:t>
      </w:r>
      <w:r w:rsidR="004C73CD" w:rsidRPr="00C574FE">
        <w:t xml:space="preserve"> </w:t>
      </w:r>
      <w:r w:rsidRPr="00C574FE">
        <w:t xml:space="preserve">our </w:t>
      </w:r>
      <w:r w:rsidR="004C73CD" w:rsidRPr="00C574FE">
        <w:t xml:space="preserve">studies was to </w:t>
      </w:r>
      <w:r w:rsidR="00006849" w:rsidRPr="00C574FE">
        <w:t>evaluate</w:t>
      </w:r>
      <w:r w:rsidR="004C73CD" w:rsidRPr="00C574FE">
        <w:t xml:space="preserve"> </w:t>
      </w:r>
      <w:r w:rsidR="007E0003" w:rsidRPr="00C574FE">
        <w:t xml:space="preserve">what – given the current </w:t>
      </w:r>
      <w:r w:rsidR="007A32BD" w:rsidRPr="00C574FE">
        <w:t>Z</w:t>
      </w:r>
      <w:r w:rsidR="007E0003" w:rsidRPr="00C574FE">
        <w:t xml:space="preserve">eitgeist in </w:t>
      </w:r>
      <w:r w:rsidR="007A32BD" w:rsidRPr="00C574FE">
        <w:t xml:space="preserve">the forensic interviewing field </w:t>
      </w:r>
      <w:r w:rsidR="007E0003" w:rsidRPr="00C574FE">
        <w:t xml:space="preserve">– might at face value seem to be a </w:t>
      </w:r>
      <w:r w:rsidR="00BA719C" w:rsidRPr="00C574FE">
        <w:t>counterintuitive</w:t>
      </w:r>
      <w:r w:rsidR="007E0003" w:rsidRPr="00C574FE">
        <w:t xml:space="preserve"> approach</w:t>
      </w:r>
      <w:r w:rsidR="00375381" w:rsidRPr="00C574FE">
        <w:t xml:space="preserve">, yet one </w:t>
      </w:r>
      <w:r w:rsidR="004C73CD" w:rsidRPr="00C574FE">
        <w:t>that could (a) be used to increase witnesses’ reporting of coarse-grain details, (b) provide an indication of the likely accuracy of those details, and (c) complement contemporary best practice approaches to interviewing witnesses.</w:t>
      </w:r>
      <w:r w:rsidR="005F2C2F" w:rsidRPr="00C574FE">
        <w:t xml:space="preserve">  </w:t>
      </w:r>
      <w:r w:rsidR="00FE3B28" w:rsidRPr="00C574FE">
        <w:t>I</w:t>
      </w:r>
      <w:r w:rsidR="005F2C2F" w:rsidRPr="00C574FE">
        <w:t xml:space="preserve">n the forensic interviewing field open-ended </w:t>
      </w:r>
      <w:r w:rsidR="008D6DCB" w:rsidRPr="00C574FE">
        <w:t xml:space="preserve">questioning </w:t>
      </w:r>
      <w:r w:rsidR="005F2C2F" w:rsidRPr="00C574FE">
        <w:t>represent</w:t>
      </w:r>
      <w:r w:rsidR="008D6DCB" w:rsidRPr="00C574FE">
        <w:t>s</w:t>
      </w:r>
      <w:r w:rsidR="005F2C2F" w:rsidRPr="00C574FE">
        <w:t xml:space="preserve"> the </w:t>
      </w:r>
      <w:r w:rsidR="005F2C2F" w:rsidRPr="00C574FE">
        <w:rPr>
          <w:i/>
        </w:rPr>
        <w:t>gold standard</w:t>
      </w:r>
      <w:r w:rsidR="008D6DCB" w:rsidRPr="00C574FE">
        <w:rPr>
          <w:i/>
        </w:rPr>
        <w:t xml:space="preserve"> </w:t>
      </w:r>
      <w:r w:rsidR="008D6DCB" w:rsidRPr="00C574FE">
        <w:t>approach</w:t>
      </w:r>
      <w:r w:rsidR="00CB4D5F" w:rsidRPr="00C574FE">
        <w:t xml:space="preserve"> (</w:t>
      </w:r>
      <w:r w:rsidR="004B7FC0" w:rsidRPr="00C574FE">
        <w:t>Fisher, Milne, Bull, 2011)</w:t>
      </w:r>
      <w:r w:rsidR="005F2C2F" w:rsidRPr="00C574FE">
        <w:t xml:space="preserve">.  </w:t>
      </w:r>
      <w:r w:rsidR="00FE3B28" w:rsidRPr="00C574FE">
        <w:t>C</w:t>
      </w:r>
      <w:r w:rsidR="005F2C2F" w:rsidRPr="00C574FE">
        <w:t xml:space="preserve">losed questioning techniques have been criticized as </w:t>
      </w:r>
      <w:r w:rsidR="00006849" w:rsidRPr="00C574FE">
        <w:t xml:space="preserve">potentially </w:t>
      </w:r>
      <w:r w:rsidR="005F2C2F" w:rsidRPr="00C574FE">
        <w:t>suggestive or leading (Memon</w:t>
      </w:r>
      <w:r w:rsidR="00150D61" w:rsidRPr="00C574FE">
        <w:t xml:space="preserve">, </w:t>
      </w:r>
      <w:r w:rsidR="00150D61" w:rsidRPr="00C574FE">
        <w:rPr>
          <w:lang w:val="en"/>
        </w:rPr>
        <w:t xml:space="preserve">Wark, Holley, Koehnken, &amp; Bull, </w:t>
      </w:r>
      <w:r w:rsidR="005F2C2F" w:rsidRPr="00C574FE">
        <w:lastRenderedPageBreak/>
        <w:t xml:space="preserve">1996).  </w:t>
      </w:r>
      <w:r w:rsidR="00311CA6" w:rsidRPr="00C574FE">
        <w:t xml:space="preserve">Systematic and exhaustive free recall prompting should be the </w:t>
      </w:r>
      <w:r w:rsidR="00FE3B28" w:rsidRPr="00C574FE">
        <w:t>interview</w:t>
      </w:r>
      <w:r w:rsidR="00AA4B53" w:rsidRPr="00C574FE">
        <w:t>er</w:t>
      </w:r>
      <w:r w:rsidR="00FE3B28" w:rsidRPr="00C574FE">
        <w:t xml:space="preserve">’s </w:t>
      </w:r>
      <w:r w:rsidR="00311CA6" w:rsidRPr="00C574FE">
        <w:t>initial focus.  Directive or “wh” prompts or questions about already mentioned details might follow if further information is required and</w:t>
      </w:r>
      <w:r w:rsidR="00526CB7" w:rsidRPr="00C574FE">
        <w:t>, subsequently,</w:t>
      </w:r>
      <w:r w:rsidR="00960D78" w:rsidRPr="00C574FE">
        <w:t xml:space="preserve"> yes/no or forced choice questions might address new issues – but there is a consensus that </w:t>
      </w:r>
      <w:r w:rsidR="00986ED7" w:rsidRPr="00C574FE">
        <w:t>the latter approaches increase the risk of eliciting inaccurate information (see, for example, Lamb et al., 2008; Powell et al., 2005).</w:t>
      </w:r>
      <w:r w:rsidR="00FE3B28" w:rsidRPr="00C574FE">
        <w:t xml:space="preserve">  </w:t>
      </w:r>
      <w:r w:rsidR="00986ED7" w:rsidRPr="00C574FE">
        <w:t xml:space="preserve">Nevertheless, </w:t>
      </w:r>
      <w:r w:rsidR="00FE3B28" w:rsidRPr="00C574FE">
        <w:t xml:space="preserve">unbiased cued questioning may </w:t>
      </w:r>
      <w:r w:rsidR="00D4545B" w:rsidRPr="00C574FE">
        <w:t>provide direct, target-specific cues and information to facilitate retrieval (cf. Tulving &amp; Thomson, 1973)</w:t>
      </w:r>
      <w:r w:rsidR="00517F9D" w:rsidRPr="00C574FE">
        <w:t xml:space="preserve"> and elicit accurate and detailed information </w:t>
      </w:r>
      <w:r w:rsidR="00D4545B" w:rsidRPr="00C574FE">
        <w:t>(e.g., Pipe</w:t>
      </w:r>
      <w:r w:rsidR="00C2486F" w:rsidRPr="00C574FE">
        <w:t>, Gee, Wilson, &amp; Egerton,</w:t>
      </w:r>
      <w:r w:rsidR="00517F9D" w:rsidRPr="00C574FE">
        <w:t xml:space="preserve"> 1999).</w:t>
      </w:r>
    </w:p>
    <w:p w14:paraId="7EDC7A3F" w14:textId="55E0C37C" w:rsidR="00E02950" w:rsidRPr="00C574FE" w:rsidRDefault="00D4545B" w:rsidP="00E02950">
      <w:pPr>
        <w:ind w:firstLine="426"/>
      </w:pPr>
      <w:r w:rsidRPr="00C574FE">
        <w:t xml:space="preserve">Imagine, however, a situation where witnesses are </w:t>
      </w:r>
      <w:r w:rsidR="00DA5676" w:rsidRPr="00C574FE">
        <w:t>asked</w:t>
      </w:r>
      <w:r w:rsidRPr="00C574FE">
        <w:t xml:space="preserve"> to answer all c</w:t>
      </w:r>
      <w:r w:rsidR="00DA5676" w:rsidRPr="00C574FE">
        <w:t>ued recall</w:t>
      </w:r>
      <w:r w:rsidRPr="00C574FE">
        <w:t xml:space="preserve"> questions </w:t>
      </w:r>
      <w:r w:rsidR="00E40289" w:rsidRPr="00C574FE">
        <w:t xml:space="preserve">(i.e., </w:t>
      </w:r>
      <w:r w:rsidRPr="00C574FE">
        <w:rPr>
          <w:i/>
        </w:rPr>
        <w:t>don’t know</w:t>
      </w:r>
      <w:r w:rsidR="00E40289" w:rsidRPr="00C574FE">
        <w:t xml:space="preserve"> was not </w:t>
      </w:r>
      <w:r w:rsidR="00996D97" w:rsidRPr="00C574FE">
        <w:t xml:space="preserve">an </w:t>
      </w:r>
      <w:r w:rsidR="00E40289" w:rsidRPr="00C574FE">
        <w:t>option)</w:t>
      </w:r>
      <w:r w:rsidR="005F3B99" w:rsidRPr="00C574FE">
        <w:t>: that is, the interview procedure involves</w:t>
      </w:r>
      <w:r w:rsidR="005A4F3D" w:rsidRPr="00C574FE">
        <w:t xml:space="preserve"> </w:t>
      </w:r>
      <w:r w:rsidR="005F3B99" w:rsidRPr="00C574FE">
        <w:rPr>
          <w:i/>
        </w:rPr>
        <w:t>forced report</w:t>
      </w:r>
      <w:r w:rsidR="005A4F3D" w:rsidRPr="00C574FE">
        <w:t xml:space="preserve">.  </w:t>
      </w:r>
      <w:r w:rsidR="000B79C4" w:rsidRPr="00C574FE">
        <w:t xml:space="preserve">Given that witnesses often provide quite impoverished accounts of witnessed events (Douglass, Brewer, Semmler, Bustamante, &amp; Hiley, 2013; </w:t>
      </w:r>
      <w:r w:rsidR="007255FB" w:rsidRPr="00C574FE">
        <w:t>Gabbert et al., 2015</w:t>
      </w:r>
      <w:r w:rsidR="000B79C4" w:rsidRPr="00C574FE">
        <w:t>), exhorting witnesses to report an answer to every question will obviously markedly increase the quantity of outputs</w:t>
      </w:r>
      <w:r w:rsidR="00AA4B53" w:rsidRPr="00C574FE">
        <w:t xml:space="preserve">, although </w:t>
      </w:r>
      <w:r w:rsidR="000B79C4" w:rsidRPr="00C574FE">
        <w:t>the accuracy of some of the outputs that, but for forced reporting, would have been withheld will be questionable</w:t>
      </w:r>
      <w:r w:rsidR="0091608F" w:rsidRPr="00C574FE">
        <w:t xml:space="preserve">.  </w:t>
      </w:r>
      <w:r w:rsidR="00AA4B53" w:rsidRPr="00C574FE">
        <w:t>T</w:t>
      </w:r>
      <w:r w:rsidR="000B79C4" w:rsidRPr="00C574FE">
        <w:t xml:space="preserve">his is especially likely to be the case for fine-grain responses.  </w:t>
      </w:r>
      <w:r w:rsidR="0091608F" w:rsidRPr="00C574FE">
        <w:t>A</w:t>
      </w:r>
      <w:r w:rsidR="000B79C4" w:rsidRPr="00C574FE">
        <w:t xml:space="preserve">s noted above, </w:t>
      </w:r>
      <w:r w:rsidR="0091608F" w:rsidRPr="00C574FE">
        <w:t xml:space="preserve">however, </w:t>
      </w:r>
      <w:r w:rsidR="000B79C4" w:rsidRPr="00C574FE">
        <w:t>c</w:t>
      </w:r>
      <w:r w:rsidR="00E02950" w:rsidRPr="00C574FE">
        <w:t>ued recall questions can act as valuable retrieval cues</w:t>
      </w:r>
      <w:r w:rsidR="0091608F" w:rsidRPr="00C574FE">
        <w:t>.  Thus,</w:t>
      </w:r>
      <w:r w:rsidR="000B79C4" w:rsidRPr="00C574FE">
        <w:t xml:space="preserve"> </w:t>
      </w:r>
      <w:r w:rsidR="005A4F3D" w:rsidRPr="00C574FE">
        <w:t xml:space="preserve">asking witnesses to answer all such questions is likely to lead to </w:t>
      </w:r>
      <w:r w:rsidR="00E02950" w:rsidRPr="00C574FE">
        <w:t>report</w:t>
      </w:r>
      <w:r w:rsidR="005A4F3D" w:rsidRPr="00C574FE">
        <w:t>ing</w:t>
      </w:r>
      <w:r w:rsidR="00E02950" w:rsidRPr="00C574FE">
        <w:t xml:space="preserve"> </w:t>
      </w:r>
      <w:r w:rsidR="0091608F" w:rsidRPr="00C574FE">
        <w:t xml:space="preserve">of </w:t>
      </w:r>
      <w:r w:rsidR="000B79C4" w:rsidRPr="00C574FE">
        <w:t xml:space="preserve">some </w:t>
      </w:r>
      <w:r w:rsidR="0091608F" w:rsidRPr="00C574FE">
        <w:t xml:space="preserve">accurate </w:t>
      </w:r>
      <w:r w:rsidR="00E02950" w:rsidRPr="00C574FE">
        <w:t xml:space="preserve">details </w:t>
      </w:r>
      <w:r w:rsidR="0091608F" w:rsidRPr="00C574FE">
        <w:t>which, under free recall c</w:t>
      </w:r>
      <w:r w:rsidR="00526CB7" w:rsidRPr="00C574FE">
        <w:t>o</w:t>
      </w:r>
      <w:r w:rsidR="0091608F" w:rsidRPr="00C574FE">
        <w:t xml:space="preserve">nditions, </w:t>
      </w:r>
      <w:r w:rsidR="00517F9D" w:rsidRPr="00C574FE">
        <w:t xml:space="preserve">they may </w:t>
      </w:r>
      <w:r w:rsidR="00E02950" w:rsidRPr="00C574FE">
        <w:t xml:space="preserve">judge </w:t>
      </w:r>
      <w:r w:rsidR="0091608F" w:rsidRPr="00C574FE">
        <w:t>as</w:t>
      </w:r>
      <w:r w:rsidR="00E02950" w:rsidRPr="00C574FE">
        <w:t xml:space="preserve"> insufficiently informative</w:t>
      </w:r>
      <w:r w:rsidR="00375381" w:rsidRPr="00C574FE">
        <w:t xml:space="preserve"> to report</w:t>
      </w:r>
      <w:r w:rsidR="0091608F" w:rsidRPr="00C574FE">
        <w:t>.</w:t>
      </w:r>
      <w:r w:rsidR="00E02950" w:rsidRPr="00C574FE">
        <w:t xml:space="preserve">  </w:t>
      </w:r>
      <w:r w:rsidR="004F522B" w:rsidRPr="00C574FE">
        <w:t xml:space="preserve">In line with Ackerman and Goldsmith (2008) and Yaniv and Foster (1995), it seems likely that </w:t>
      </w:r>
      <w:r w:rsidR="00C562FA" w:rsidRPr="00C574FE">
        <w:t>coarse-grain information is the sort of information that witnesses are most likely to judge as unimportant and, in turn, withhold</w:t>
      </w:r>
      <w:r w:rsidR="004F522B" w:rsidRPr="00C574FE">
        <w:t xml:space="preserve">.  Accordingly, we expected </w:t>
      </w:r>
      <w:r w:rsidR="00C562FA" w:rsidRPr="00C574FE">
        <w:t xml:space="preserve">forced reporting </w:t>
      </w:r>
      <w:r w:rsidR="004F522B" w:rsidRPr="00C574FE">
        <w:t xml:space="preserve">to have </w:t>
      </w:r>
      <w:r w:rsidR="00C562FA" w:rsidRPr="00C574FE">
        <w:t>a disproportionate effect on coarse- (cf. fine-) grain reporting.  Moreover, given coarse-grain details are, on average, more likely to be accurate than fine-grain</w:t>
      </w:r>
      <w:r w:rsidR="008548AE" w:rsidRPr="00C574FE">
        <w:t xml:space="preserve"> (see, for example, accuracy data for both numeric and verbal eyewitness reports in Weber &amp; Brewer, 2008)</w:t>
      </w:r>
      <w:r w:rsidR="00C562FA" w:rsidRPr="00C574FE">
        <w:t xml:space="preserve">, </w:t>
      </w:r>
      <w:r w:rsidR="007255FB" w:rsidRPr="00C574FE">
        <w:t xml:space="preserve">we argue that </w:t>
      </w:r>
      <w:r w:rsidR="00C562FA" w:rsidRPr="00C574FE">
        <w:t xml:space="preserve">forced reporting may be an effective, albeit unusual, way of </w:t>
      </w:r>
      <w:r w:rsidR="00C562FA" w:rsidRPr="00C574FE">
        <w:lastRenderedPageBreak/>
        <w:t>eliciting forensically useful information from witnesses</w:t>
      </w:r>
      <w:r w:rsidR="00FE7B8B" w:rsidRPr="00C574FE">
        <w:t>, information that might never be elicited under open questioning</w:t>
      </w:r>
      <w:r w:rsidR="00C562FA" w:rsidRPr="00C574FE">
        <w:t xml:space="preserve">. </w:t>
      </w:r>
    </w:p>
    <w:p w14:paraId="7E4F78BF" w14:textId="2D8906D1" w:rsidR="0041203E" w:rsidRPr="00C574FE" w:rsidRDefault="0041203E" w:rsidP="0041203E">
      <w:pPr>
        <w:pStyle w:val="BodyText"/>
        <w:ind w:firstLine="425"/>
      </w:pPr>
      <w:r w:rsidRPr="00C574FE">
        <w:t xml:space="preserve">We focused on the impact of one </w:t>
      </w:r>
      <w:r w:rsidR="005F3B99" w:rsidRPr="00C574FE">
        <w:t xml:space="preserve">forced report </w:t>
      </w:r>
      <w:r w:rsidRPr="00C574FE">
        <w:t>procedure on the quantity of accurate coarse-grain details reported and their overall accuracy, guided by confidence-accuracy profiles for reported items.  This procedure –</w:t>
      </w:r>
      <w:r w:rsidR="005F3B99" w:rsidRPr="00C574FE">
        <w:t xml:space="preserve"> </w:t>
      </w:r>
      <w:r w:rsidRPr="00C574FE">
        <w:t>referred to subsequently as the grain size procedure – required witnesses to report answers to interviewers’ questions at both a coarse- and fine-grain level of detail, each of which was accompanied by a judgment of confidence in the accuracy of the response.</w:t>
      </w:r>
      <w:r w:rsidR="005F3B99" w:rsidRPr="00C574FE">
        <w:t xml:space="preserve">  </w:t>
      </w:r>
      <w:r w:rsidR="00F93D35" w:rsidRPr="00C574FE">
        <w:t xml:space="preserve">Our other </w:t>
      </w:r>
      <w:r w:rsidRPr="00C574FE">
        <w:t xml:space="preserve">experimental conditions (a) provided comparative data for participants who were interviewed immediately after the encoding event using the Self-Administered Interview (Gabbert et al., 2009), as well as for participants using two other open-ended procedures, (b) tested the efficacy of the </w:t>
      </w:r>
      <w:r w:rsidR="00F93D35" w:rsidRPr="00C574FE">
        <w:t xml:space="preserve">grain size </w:t>
      </w:r>
      <w:r w:rsidRPr="00C574FE">
        <w:t>procedure using both written and verbal interviews</w:t>
      </w:r>
      <w:r w:rsidR="00654C55" w:rsidRPr="00C574FE">
        <w:t xml:space="preserve"> (both approaches are used in the field)</w:t>
      </w:r>
      <w:r w:rsidRPr="00C574FE">
        <w:t>, and (c) examined the generality of the findings across different encoding stimuli which required variations in the types of cued recall questions asked.</w:t>
      </w:r>
    </w:p>
    <w:p w14:paraId="287482A1" w14:textId="77777777" w:rsidR="004B434B" w:rsidRPr="00C574FE" w:rsidRDefault="004B434B" w:rsidP="005A6580">
      <w:pPr>
        <w:jc w:val="center"/>
        <w:rPr>
          <w:b/>
        </w:rPr>
      </w:pPr>
      <w:r w:rsidRPr="00C574FE">
        <w:rPr>
          <w:b/>
        </w:rPr>
        <w:t>Discriminating Accurate From Inaccurate Responses</w:t>
      </w:r>
    </w:p>
    <w:p w14:paraId="2D9A8FC0" w14:textId="733F78BD" w:rsidR="00203232" w:rsidRPr="00C574FE" w:rsidRDefault="00517F9D" w:rsidP="00204768">
      <w:pPr>
        <w:ind w:firstLine="426"/>
      </w:pPr>
      <w:r w:rsidRPr="00C574FE">
        <w:t>As f</w:t>
      </w:r>
      <w:r w:rsidR="00204768" w:rsidRPr="00C574FE">
        <w:t xml:space="preserve">orced reporting will give rise to a substantial number of inaccurate </w:t>
      </w:r>
      <w:r w:rsidR="00C14671" w:rsidRPr="00C574FE">
        <w:t>fine-</w:t>
      </w:r>
      <w:r w:rsidR="00E0651C" w:rsidRPr="00C574FE">
        <w:t xml:space="preserve">, and perhaps also coarse-, </w:t>
      </w:r>
      <w:r w:rsidR="00C14671" w:rsidRPr="00C574FE">
        <w:t xml:space="preserve">grain </w:t>
      </w:r>
      <w:r w:rsidR="00204768" w:rsidRPr="00C574FE">
        <w:t>details</w:t>
      </w:r>
      <w:r w:rsidRPr="00C574FE">
        <w:t xml:space="preserve">, </w:t>
      </w:r>
      <w:r w:rsidR="00204768" w:rsidRPr="00C574FE">
        <w:t xml:space="preserve">investigators </w:t>
      </w:r>
      <w:r w:rsidRPr="00C574FE">
        <w:t>would need a</w:t>
      </w:r>
      <w:r w:rsidR="00204768" w:rsidRPr="00C574FE">
        <w:t xml:space="preserve"> way of discriminating accurate from inaccurate reports with reasonable reliability.</w:t>
      </w:r>
      <w:r w:rsidR="004B434B" w:rsidRPr="00C574FE">
        <w:t xml:space="preserve">  </w:t>
      </w:r>
      <w:r w:rsidR="004C12F1" w:rsidRPr="00C574FE">
        <w:t xml:space="preserve">A possible </w:t>
      </w:r>
      <w:r w:rsidR="00577EB8" w:rsidRPr="00C574FE">
        <w:t xml:space="preserve">solution is suggested by the </w:t>
      </w:r>
      <w:r w:rsidR="00204768" w:rsidRPr="00C574FE">
        <w:t>literature indicating that confidence provide</w:t>
      </w:r>
      <w:r w:rsidR="007B5DA7" w:rsidRPr="00C574FE">
        <w:t>s</w:t>
      </w:r>
      <w:r w:rsidR="00204768" w:rsidRPr="00C574FE">
        <w:t xml:space="preserve"> useful information about accuracy of eyewitness reports when witnesses are asked to recall details of people and events observed.  For example, </w:t>
      </w:r>
      <w:r w:rsidR="007B5DA7" w:rsidRPr="00C574FE">
        <w:t xml:space="preserve">some studies </w:t>
      </w:r>
      <w:r w:rsidRPr="00C574FE">
        <w:t xml:space="preserve">show that, at the group level, </w:t>
      </w:r>
      <w:r w:rsidR="00204768" w:rsidRPr="00C574FE">
        <w:t>confidence for accurate responses is higher than for inaccurate responses (Luna &amp; Martín-Luengo, 201</w:t>
      </w:r>
      <w:r w:rsidR="000A6AC5" w:rsidRPr="00C574FE">
        <w:t>2</w:t>
      </w:r>
      <w:r w:rsidR="00204768" w:rsidRPr="00C574FE">
        <w:t>; Robinson &amp; Johnson, 1996).  Other studies have found that</w:t>
      </w:r>
      <w:r w:rsidR="002776B8" w:rsidRPr="00C574FE">
        <w:t xml:space="preserve"> </w:t>
      </w:r>
      <w:r w:rsidR="00204768" w:rsidRPr="00C574FE">
        <w:t xml:space="preserve">witnesses </w:t>
      </w:r>
      <w:r w:rsidR="001936C9" w:rsidRPr="00C574FE">
        <w:t xml:space="preserve">express higher confidence for </w:t>
      </w:r>
      <w:r w:rsidR="00204768" w:rsidRPr="00C574FE">
        <w:t xml:space="preserve">those items they have reported accurately </w:t>
      </w:r>
      <w:r w:rsidR="001936C9" w:rsidRPr="00C574FE">
        <w:t xml:space="preserve">than for </w:t>
      </w:r>
      <w:r w:rsidR="00204768" w:rsidRPr="00C574FE">
        <w:t>those that are incorrect (Luna &amp; Martín-Luengo, 201</w:t>
      </w:r>
      <w:r w:rsidR="004C12F1" w:rsidRPr="00C574FE">
        <w:t>2</w:t>
      </w:r>
      <w:r w:rsidR="00B85E93" w:rsidRPr="00C574FE">
        <w:t>;</w:t>
      </w:r>
      <w:r w:rsidR="00204768" w:rsidRPr="00C574FE">
        <w:t xml:space="preserve"> Roberts &amp; Higham, 2002).  </w:t>
      </w:r>
      <w:r w:rsidR="00CA1435" w:rsidRPr="00C574FE">
        <w:t xml:space="preserve">There is also </w:t>
      </w:r>
      <w:r w:rsidR="00204768" w:rsidRPr="00C574FE">
        <w:t xml:space="preserve">evidence </w:t>
      </w:r>
      <w:r w:rsidR="007A60BD" w:rsidRPr="00C574FE">
        <w:t xml:space="preserve">that </w:t>
      </w:r>
      <w:r w:rsidR="00204768" w:rsidRPr="00C574FE">
        <w:t>confidence and accuracy are calibrated, with increases in confidence associated with progressive increases in accuracy (Luna</w:t>
      </w:r>
      <w:r w:rsidR="004C12F1" w:rsidRPr="00C574FE">
        <w:t>, Higham, &amp; Martín-</w:t>
      </w:r>
      <w:r w:rsidR="004C12F1" w:rsidRPr="00C574FE">
        <w:lastRenderedPageBreak/>
        <w:t>Luengo</w:t>
      </w:r>
      <w:r w:rsidR="00204768" w:rsidRPr="00C574FE">
        <w:t>, 201</w:t>
      </w:r>
      <w:r w:rsidR="004C12F1" w:rsidRPr="00C574FE">
        <w:t>1</w:t>
      </w:r>
      <w:r w:rsidR="00204768" w:rsidRPr="00C574FE">
        <w:t>; Luna &amp; Martín-Luengo, 201</w:t>
      </w:r>
      <w:r w:rsidR="004C12F1" w:rsidRPr="00C574FE">
        <w:t>2</w:t>
      </w:r>
      <w:r w:rsidR="00204768" w:rsidRPr="00C574FE">
        <w:t>)</w:t>
      </w:r>
      <w:r w:rsidR="00777490" w:rsidRPr="00C574FE">
        <w:t xml:space="preserve">.  </w:t>
      </w:r>
      <w:r w:rsidR="007B5DA7" w:rsidRPr="00C574FE">
        <w:t xml:space="preserve">There are, however, </w:t>
      </w:r>
      <w:r w:rsidR="00CD55C3" w:rsidRPr="00C574FE">
        <w:t>some qualifications.  A</w:t>
      </w:r>
      <w:r w:rsidR="00CA1435" w:rsidRPr="00C574FE">
        <w:t xml:space="preserve">ny </w:t>
      </w:r>
      <w:r w:rsidR="00203232" w:rsidRPr="00C574FE">
        <w:t xml:space="preserve">overconfidence in memory reports means </w:t>
      </w:r>
      <w:r w:rsidR="00C24114" w:rsidRPr="00C574FE">
        <w:t xml:space="preserve">there will be imprecision if using confidence to diagnose the accuracy of any </w:t>
      </w:r>
      <w:r w:rsidR="00CA1435" w:rsidRPr="00C574FE">
        <w:t xml:space="preserve">specific </w:t>
      </w:r>
      <w:r w:rsidR="00C24114" w:rsidRPr="00C574FE">
        <w:t xml:space="preserve">item of information.  Specifically, probability of a correct response for items reported with extremely high confidence levels (e.g., 90-100%) will be lower than suggested by the confidence rating.  Moreover, the degree of overconfidence typically increases with task difficulty </w:t>
      </w:r>
      <w:r w:rsidR="00CA1435" w:rsidRPr="00C574FE">
        <w:t xml:space="preserve">(see </w:t>
      </w:r>
      <w:r w:rsidR="00CA1435" w:rsidRPr="00C574FE">
        <w:rPr>
          <w:rFonts w:eastAsia="Batang"/>
          <w:lang w:val="en-AU"/>
        </w:rPr>
        <w:t>Gigerenzer, Hoffrage, &amp; Kleinbölting, 1991; Weber &amp; Brewer, 2004</w:t>
      </w:r>
      <w:r w:rsidR="00EF3844" w:rsidRPr="00C574FE">
        <w:t>)</w:t>
      </w:r>
      <w:r w:rsidR="00CA1435" w:rsidRPr="00C574FE">
        <w:t>, with lower memory strength likely to be associated with greater overconfidence</w:t>
      </w:r>
      <w:r w:rsidR="00EF3844" w:rsidRPr="00C574FE">
        <w:t xml:space="preserve">.  </w:t>
      </w:r>
      <w:r w:rsidR="00C24114" w:rsidRPr="00C574FE">
        <w:t xml:space="preserve">Note, however, that the literature </w:t>
      </w:r>
      <w:r w:rsidR="00526CB7" w:rsidRPr="00C574FE">
        <w:t xml:space="preserve">also </w:t>
      </w:r>
      <w:r w:rsidR="00C24114" w:rsidRPr="00C574FE">
        <w:t>indicates that overconfidence for coarse-grain</w:t>
      </w:r>
      <w:r w:rsidR="00526CB7" w:rsidRPr="00C574FE">
        <w:t>,</w:t>
      </w:r>
      <w:r w:rsidR="00C24114" w:rsidRPr="00C574FE">
        <w:t xml:space="preserve"> forced eyewitness reports will be significantly less than for fine-grain forced reports (Weber &amp; Brewer, 2008).</w:t>
      </w:r>
      <w:r w:rsidR="00CA1435" w:rsidRPr="00C574FE">
        <w:t xml:space="preserve">  </w:t>
      </w:r>
    </w:p>
    <w:p w14:paraId="6D457D00" w14:textId="06446D10" w:rsidR="00492522" w:rsidRPr="00C574FE" w:rsidRDefault="007B5DA7" w:rsidP="00492522">
      <w:pPr>
        <w:ind w:firstLine="426"/>
        <w:rPr>
          <w:rFonts w:eastAsia="Batang"/>
          <w:bCs/>
        </w:rPr>
      </w:pPr>
      <w:r w:rsidRPr="00C574FE">
        <w:t xml:space="preserve">Here </w:t>
      </w:r>
      <w:r w:rsidR="00804FB5" w:rsidRPr="00C574FE">
        <w:t>we used</w:t>
      </w:r>
      <w:r w:rsidR="00204768" w:rsidRPr="00C574FE">
        <w:t xml:space="preserve"> the profiles of item-level confidence judgments that best discriminated accurate from inaccurate responses to explore the extent to which the output gains produced by forced reporting could be achieved without significant accuracy decrements when compared with </w:t>
      </w:r>
      <w:r w:rsidR="007A60BD" w:rsidRPr="00C574FE">
        <w:t xml:space="preserve">similar </w:t>
      </w:r>
      <w:r w:rsidR="00204768" w:rsidRPr="00C574FE">
        <w:t xml:space="preserve">outputs from open-ended interviewing techniques.  </w:t>
      </w:r>
      <w:r w:rsidR="007A60BD" w:rsidRPr="00C574FE">
        <w:t>I</w:t>
      </w:r>
      <w:r w:rsidR="00204768" w:rsidRPr="00C574FE">
        <w:t xml:space="preserve">f </w:t>
      </w:r>
      <w:r w:rsidR="004C12F1" w:rsidRPr="00C574FE">
        <w:t xml:space="preserve">confidence is to assist </w:t>
      </w:r>
      <w:r w:rsidR="00204768" w:rsidRPr="00C574FE">
        <w:t>an interviewer to assess the likely accuracy of individual items, it would be useful to have a relatively simple cuto</w:t>
      </w:r>
      <w:r w:rsidR="002B6E84" w:rsidRPr="00C574FE">
        <w:t>f</w:t>
      </w:r>
      <w:r w:rsidR="00204768" w:rsidRPr="00C574FE">
        <w:t xml:space="preserve">f or </w:t>
      </w:r>
      <w:r w:rsidR="004C12F1" w:rsidRPr="00C574FE">
        <w:t xml:space="preserve">decision </w:t>
      </w:r>
      <w:r w:rsidR="00204768" w:rsidRPr="00C574FE">
        <w:t xml:space="preserve">rule.  One such rule would be an absolute confidence cutoff that </w:t>
      </w:r>
      <w:r w:rsidR="00EF64FA" w:rsidRPr="00C574FE">
        <w:t xml:space="preserve">empirical research has shown </w:t>
      </w:r>
      <w:r w:rsidR="00204768" w:rsidRPr="00C574FE">
        <w:t xml:space="preserve">provides desirable accuracy levels </w:t>
      </w:r>
      <w:r w:rsidR="00EF64FA" w:rsidRPr="00C574FE">
        <w:t xml:space="preserve">(e.g., the likelihood that an item was accurate = 90-100%) </w:t>
      </w:r>
      <w:r w:rsidR="00204768" w:rsidRPr="00C574FE">
        <w:t>across a</w:t>
      </w:r>
      <w:r w:rsidRPr="00C574FE">
        <w:t>n</w:t>
      </w:r>
      <w:r w:rsidR="00204768" w:rsidRPr="00C574FE">
        <w:t xml:space="preserve"> array of forensically relevant conditions.  </w:t>
      </w:r>
      <w:r w:rsidR="007A60BD" w:rsidRPr="00C574FE">
        <w:t>W</w:t>
      </w:r>
      <w:r w:rsidR="00204768" w:rsidRPr="00C574FE">
        <w:t>e</w:t>
      </w:r>
      <w:r w:rsidR="007A60BD" w:rsidRPr="00C574FE">
        <w:t>, therefore,</w:t>
      </w:r>
      <w:r w:rsidR="00204768" w:rsidRPr="00C574FE">
        <w:t xml:space="preserve"> examined accuracy levels for responses reported with 100% confidence, ≥ 90%</w:t>
      </w:r>
      <w:r w:rsidR="004C12F1" w:rsidRPr="00C574FE">
        <w:t xml:space="preserve"> confidence</w:t>
      </w:r>
      <w:r w:rsidR="00204768" w:rsidRPr="00C574FE">
        <w:t>, ≥ 80%</w:t>
      </w:r>
      <w:r w:rsidR="00F30A4C" w:rsidRPr="00C574FE">
        <w:t xml:space="preserve"> confidence</w:t>
      </w:r>
      <w:r w:rsidR="007A60BD" w:rsidRPr="00C574FE">
        <w:t>, etc.</w:t>
      </w:r>
      <w:r w:rsidR="00204768" w:rsidRPr="00C574FE">
        <w:t xml:space="preserve">  </w:t>
      </w:r>
    </w:p>
    <w:p w14:paraId="1DD96948" w14:textId="573C75CA" w:rsidR="00E02950" w:rsidRPr="00C574FE" w:rsidRDefault="00C14671" w:rsidP="005A6580">
      <w:pPr>
        <w:jc w:val="center"/>
        <w:rPr>
          <w:b/>
        </w:rPr>
      </w:pPr>
      <w:r w:rsidRPr="00C574FE">
        <w:rPr>
          <w:b/>
        </w:rPr>
        <w:t>The General Experimental Approach</w:t>
      </w:r>
    </w:p>
    <w:p w14:paraId="38A8A16F" w14:textId="58029BD2" w:rsidR="008728F7" w:rsidRPr="00C574FE" w:rsidRDefault="00CA3753" w:rsidP="008728F7">
      <w:pPr>
        <w:ind w:firstLine="425"/>
      </w:pPr>
      <w:r w:rsidRPr="00C574FE">
        <w:t xml:space="preserve">In </w:t>
      </w:r>
      <w:r w:rsidR="00830843" w:rsidRPr="00C574FE">
        <w:t>three</w:t>
      </w:r>
      <w:r w:rsidR="004B434B" w:rsidRPr="00C574FE">
        <w:t xml:space="preserve"> </w:t>
      </w:r>
      <w:r w:rsidRPr="00C574FE">
        <w:t xml:space="preserve">experiments </w:t>
      </w:r>
      <w:r w:rsidR="00524379" w:rsidRPr="00C574FE">
        <w:t>w</w:t>
      </w:r>
      <w:r w:rsidR="007470EC" w:rsidRPr="00C574FE">
        <w:t>itnesses report</w:t>
      </w:r>
      <w:r w:rsidR="00A168C9" w:rsidRPr="00C574FE">
        <w:t>ed</w:t>
      </w:r>
      <w:r w:rsidR="007470EC" w:rsidRPr="00C574FE">
        <w:t xml:space="preserve"> answers to </w:t>
      </w:r>
      <w:r w:rsidR="00E61982" w:rsidRPr="00C574FE">
        <w:t xml:space="preserve">every </w:t>
      </w:r>
      <w:r w:rsidR="008B251F" w:rsidRPr="00C574FE">
        <w:t>cued recall</w:t>
      </w:r>
      <w:r w:rsidR="007470EC" w:rsidRPr="00C574FE">
        <w:t xml:space="preserve"> question at both a </w:t>
      </w:r>
      <w:r w:rsidR="004B434B" w:rsidRPr="00C574FE">
        <w:t>coarse-</w:t>
      </w:r>
      <w:r w:rsidR="007470EC" w:rsidRPr="00C574FE">
        <w:t xml:space="preserve"> and a </w:t>
      </w:r>
      <w:r w:rsidR="004B434B" w:rsidRPr="00C574FE">
        <w:t>fine</w:t>
      </w:r>
      <w:r w:rsidR="007470EC" w:rsidRPr="00C574FE">
        <w:t xml:space="preserve">-grain level of detail, with each answer accompanied by a judgment of confidence in the accuracy of the response.  Subsequent to these reports they provided their preferred (i.e., </w:t>
      </w:r>
      <w:r w:rsidR="004B434B" w:rsidRPr="00C574FE">
        <w:t>coarse</w:t>
      </w:r>
      <w:r w:rsidR="007470EC" w:rsidRPr="00C574FE">
        <w:t xml:space="preserve">- or </w:t>
      </w:r>
      <w:r w:rsidR="004B434B" w:rsidRPr="00C574FE">
        <w:t>fine</w:t>
      </w:r>
      <w:r w:rsidR="007470EC" w:rsidRPr="00C574FE">
        <w:t>-grain) report, again with an accomp</w:t>
      </w:r>
      <w:r w:rsidR="00526B31" w:rsidRPr="00C574FE">
        <w:t>anying</w:t>
      </w:r>
      <w:r w:rsidR="007470EC" w:rsidRPr="00C574FE">
        <w:t xml:space="preserve"> confidence judgment.  </w:t>
      </w:r>
      <w:r w:rsidR="00526B31" w:rsidRPr="00C574FE">
        <w:t xml:space="preserve">Although our focus was on </w:t>
      </w:r>
      <w:r w:rsidR="007470EC" w:rsidRPr="00C574FE">
        <w:t>improving coarse-grain reporting</w:t>
      </w:r>
      <w:r w:rsidR="00913B54" w:rsidRPr="00C574FE">
        <w:t>,</w:t>
      </w:r>
      <w:r w:rsidR="007470EC" w:rsidRPr="00C574FE">
        <w:t xml:space="preserve"> we </w:t>
      </w:r>
      <w:r w:rsidR="00526B31" w:rsidRPr="00C574FE">
        <w:t xml:space="preserve">obtained the fine-grain and </w:t>
      </w:r>
      <w:r w:rsidR="00526B31" w:rsidRPr="00C574FE">
        <w:lastRenderedPageBreak/>
        <w:t>preferred reports</w:t>
      </w:r>
      <w:r w:rsidR="004B434B" w:rsidRPr="00C574FE">
        <w:t xml:space="preserve"> </w:t>
      </w:r>
      <w:r w:rsidR="000443EC" w:rsidRPr="00C574FE">
        <w:t xml:space="preserve">from witnesses </w:t>
      </w:r>
      <w:r w:rsidR="00446C84" w:rsidRPr="00C574FE">
        <w:t xml:space="preserve">for two reasons.  First, we considered the possibility that the proven effectiveness of this paradigm in generating both coarse- and fine-grain reports (cf. McCallum et al., 2016; Weber &amp; Brewer, 2008) might hinge, to some degree, on witnesses producing </w:t>
      </w:r>
      <w:r w:rsidR="00BA4E70" w:rsidRPr="00C574FE">
        <w:t xml:space="preserve">these </w:t>
      </w:r>
      <w:r w:rsidR="00446C84" w:rsidRPr="00C574FE">
        <w:t xml:space="preserve">reports </w:t>
      </w:r>
      <w:r w:rsidR="00BA4E70" w:rsidRPr="00C574FE">
        <w:t xml:space="preserve">one immediately after the other.  In other words, perhaps the effectiveness of the procedure is dependent on witnesses being able to make immediate contrasts between the two response options.  Second, </w:t>
      </w:r>
      <w:r w:rsidR="009444DA" w:rsidRPr="00C574FE">
        <w:t xml:space="preserve">it provided </w:t>
      </w:r>
      <w:r w:rsidR="000A068A" w:rsidRPr="00C574FE">
        <w:t>an</w:t>
      </w:r>
      <w:r w:rsidR="00BA4E70" w:rsidRPr="00C574FE">
        <w:t xml:space="preserve"> </w:t>
      </w:r>
      <w:r w:rsidR="000A068A" w:rsidRPr="00C574FE">
        <w:t xml:space="preserve">opportunity </w:t>
      </w:r>
      <w:r w:rsidR="009444DA" w:rsidRPr="00C574FE">
        <w:t xml:space="preserve">to examine </w:t>
      </w:r>
      <w:r w:rsidR="002617DB" w:rsidRPr="00C574FE">
        <w:t xml:space="preserve">how effectively </w:t>
      </w:r>
      <w:r w:rsidR="009444DA" w:rsidRPr="00C574FE">
        <w:t xml:space="preserve">item-level confidence judgments might discriminate accurate from inaccurate responses in </w:t>
      </w:r>
      <w:r w:rsidR="002617DB" w:rsidRPr="00C574FE">
        <w:t xml:space="preserve">the context of forced </w:t>
      </w:r>
      <w:r w:rsidR="009444DA" w:rsidRPr="00C574FE">
        <w:t xml:space="preserve">fine-grain </w:t>
      </w:r>
      <w:r w:rsidR="002617DB" w:rsidRPr="00C574FE">
        <w:t>reporting</w:t>
      </w:r>
      <w:r w:rsidR="00356ACC" w:rsidRPr="00C574FE">
        <w:t>.</w:t>
      </w:r>
    </w:p>
    <w:p w14:paraId="3845F498" w14:textId="01A69F61" w:rsidR="008728F7" w:rsidRPr="00C574FE" w:rsidRDefault="00524379" w:rsidP="008728F7">
      <w:pPr>
        <w:ind w:firstLine="425"/>
      </w:pPr>
      <w:r w:rsidRPr="00C574FE">
        <w:t>A</w:t>
      </w:r>
      <w:r w:rsidR="00F30A4C" w:rsidRPr="00C574FE">
        <w:t xml:space="preserve"> </w:t>
      </w:r>
      <w:r w:rsidR="007C66CF" w:rsidRPr="00C574FE">
        <w:t xml:space="preserve">fundamental </w:t>
      </w:r>
      <w:r w:rsidR="00F30A4C" w:rsidRPr="00C574FE">
        <w:t>issue</w:t>
      </w:r>
      <w:r w:rsidR="008728F7" w:rsidRPr="00C574FE">
        <w:t xml:space="preserve"> </w:t>
      </w:r>
      <w:r w:rsidR="005E31DA" w:rsidRPr="00C574FE">
        <w:t xml:space="preserve">we </w:t>
      </w:r>
      <w:r w:rsidRPr="00C574FE">
        <w:t>faced</w:t>
      </w:r>
      <w:r w:rsidR="005E31DA" w:rsidRPr="00C574FE">
        <w:t xml:space="preserve"> </w:t>
      </w:r>
      <w:r w:rsidR="000443EC" w:rsidRPr="00C574FE">
        <w:t>was</w:t>
      </w:r>
      <w:r w:rsidR="00E64FE3" w:rsidRPr="00C574FE">
        <w:t xml:space="preserve"> </w:t>
      </w:r>
      <w:r w:rsidR="008728F7" w:rsidRPr="00C574FE">
        <w:t xml:space="preserve">how </w:t>
      </w:r>
      <w:r w:rsidR="000443EC" w:rsidRPr="00C574FE">
        <w:t>to</w:t>
      </w:r>
      <w:r w:rsidR="007C66CF" w:rsidRPr="00C574FE">
        <w:t xml:space="preserve"> </w:t>
      </w:r>
      <w:r w:rsidR="008728F7" w:rsidRPr="00C574FE">
        <w:t xml:space="preserve">assess </w:t>
      </w:r>
      <w:r w:rsidR="007C66CF" w:rsidRPr="00C574FE">
        <w:t xml:space="preserve">whether forced reporting </w:t>
      </w:r>
      <w:r w:rsidR="00563F65" w:rsidRPr="00C574FE">
        <w:t xml:space="preserve">offers potential for </w:t>
      </w:r>
      <w:r w:rsidR="007C66CF" w:rsidRPr="00C574FE">
        <w:t>improv</w:t>
      </w:r>
      <w:r w:rsidR="00563F65" w:rsidRPr="00C574FE">
        <w:t>ing</w:t>
      </w:r>
      <w:r w:rsidR="007C66CF" w:rsidRPr="00C574FE">
        <w:t xml:space="preserve"> coarse-grain </w:t>
      </w:r>
      <w:r w:rsidR="00F30A4C" w:rsidRPr="00C574FE">
        <w:t>outputs</w:t>
      </w:r>
      <w:r w:rsidR="007C66CF" w:rsidRPr="00C574FE">
        <w:t xml:space="preserve">.  Although the obvious answer may be to compare coarse-grain outputs obtained via forced report with those obtained using </w:t>
      </w:r>
      <w:r w:rsidR="006F0A59" w:rsidRPr="00C574FE">
        <w:t xml:space="preserve">open-ended questioning </w:t>
      </w:r>
      <w:r w:rsidR="007C66CF" w:rsidRPr="00C574FE">
        <w:t>techniques, such compari</w:t>
      </w:r>
      <w:r w:rsidR="007258A8" w:rsidRPr="00C574FE">
        <w:t>s</w:t>
      </w:r>
      <w:r w:rsidR="007C66CF" w:rsidRPr="00C574FE">
        <w:t>ons are difficult to interpret</w:t>
      </w:r>
      <w:r w:rsidR="001D650C" w:rsidRPr="00C574FE">
        <w:t xml:space="preserve"> (see, for example, Fisher, </w:t>
      </w:r>
      <w:r w:rsidR="008E60B7" w:rsidRPr="00C574FE">
        <w:t>Schreiber Compo, Riva</w:t>
      </w:r>
      <w:r w:rsidR="002973B2" w:rsidRPr="00C574FE">
        <w:t>r</w:t>
      </w:r>
      <w:r w:rsidR="008E60B7" w:rsidRPr="00C574FE">
        <w:t>d, &amp; Hirn, 2014)</w:t>
      </w:r>
      <w:r w:rsidR="007C66CF" w:rsidRPr="00C574FE">
        <w:t xml:space="preserve">.  </w:t>
      </w:r>
      <w:r w:rsidRPr="00C574FE">
        <w:t>T</w:t>
      </w:r>
      <w:r w:rsidR="001D650C" w:rsidRPr="00C574FE">
        <w:t xml:space="preserve">he </w:t>
      </w:r>
      <w:r w:rsidRPr="00C574FE">
        <w:t>amount</w:t>
      </w:r>
      <w:r w:rsidR="001D650C" w:rsidRPr="00C574FE">
        <w:t xml:space="preserve"> of information produced by </w:t>
      </w:r>
      <w:r w:rsidR="00E61982" w:rsidRPr="00C574FE">
        <w:t>cued recall</w:t>
      </w:r>
      <w:r w:rsidR="001D650C" w:rsidRPr="00C574FE">
        <w:t xml:space="preserve"> questions depends on </w:t>
      </w:r>
      <w:r w:rsidRPr="00C574FE">
        <w:t>the number of questions asked</w:t>
      </w:r>
      <w:r w:rsidR="001D650C" w:rsidRPr="00C574FE">
        <w:t xml:space="preserve">, and that number is somewhat arbitrary.  </w:t>
      </w:r>
      <w:r w:rsidR="008E60B7" w:rsidRPr="00C574FE">
        <w:t>As Fisher et al. note</w:t>
      </w:r>
      <w:r w:rsidR="00F30A4C" w:rsidRPr="00C574FE">
        <w:t>d</w:t>
      </w:r>
      <w:r w:rsidR="008E60B7" w:rsidRPr="00C574FE">
        <w:t>, i</w:t>
      </w:r>
      <w:r w:rsidR="001D650C" w:rsidRPr="00C574FE">
        <w:t xml:space="preserve">f </w:t>
      </w:r>
      <w:r w:rsidR="00E61982" w:rsidRPr="00C574FE">
        <w:t xml:space="preserve">an </w:t>
      </w:r>
      <w:r w:rsidR="008E60B7" w:rsidRPr="00C574FE">
        <w:t>interviewee</w:t>
      </w:r>
      <w:r w:rsidR="00E61982" w:rsidRPr="00C574FE">
        <w:t xml:space="preserve"> is</w:t>
      </w:r>
      <w:r w:rsidR="001D650C" w:rsidRPr="00C574FE">
        <w:t xml:space="preserve"> asked a large number of </w:t>
      </w:r>
      <w:r w:rsidR="00E61982" w:rsidRPr="00C574FE">
        <w:t xml:space="preserve">cued recall </w:t>
      </w:r>
      <w:r w:rsidR="001D650C" w:rsidRPr="00C574FE">
        <w:t>questions</w:t>
      </w:r>
      <w:r w:rsidR="00E61982" w:rsidRPr="00C574FE">
        <w:t>,</w:t>
      </w:r>
      <w:r w:rsidR="001D650C" w:rsidRPr="00C574FE">
        <w:t xml:space="preserve"> </w:t>
      </w:r>
      <w:r w:rsidR="00E61982" w:rsidRPr="00C574FE">
        <w:t xml:space="preserve">s(he) </w:t>
      </w:r>
      <w:r w:rsidR="008E60B7" w:rsidRPr="00C574FE">
        <w:t xml:space="preserve">most likely will report more items than someone asked, under </w:t>
      </w:r>
      <w:r w:rsidR="00913B54" w:rsidRPr="00C574FE">
        <w:t>an open-ended approach such as free report</w:t>
      </w:r>
      <w:r w:rsidR="008E60B7" w:rsidRPr="00C574FE">
        <w:t>, to tell everything they can recall</w:t>
      </w:r>
      <w:r w:rsidR="00E61982" w:rsidRPr="00C574FE">
        <w:t>.  In contrast</w:t>
      </w:r>
      <w:r w:rsidR="008E60B7" w:rsidRPr="00C574FE">
        <w:t>, if asked only one c</w:t>
      </w:r>
      <w:r w:rsidR="00E61982" w:rsidRPr="00C574FE">
        <w:t>ued recall</w:t>
      </w:r>
      <w:r w:rsidR="008E60B7" w:rsidRPr="00C574FE">
        <w:t xml:space="preserve"> question </w:t>
      </w:r>
      <w:r w:rsidR="00E61982" w:rsidRPr="00C574FE">
        <w:t xml:space="preserve">it is </w:t>
      </w:r>
      <w:r w:rsidR="007258A8" w:rsidRPr="00C574FE">
        <w:t xml:space="preserve">very likely </w:t>
      </w:r>
      <w:r w:rsidR="00E61982" w:rsidRPr="00C574FE">
        <w:t xml:space="preserve">that </w:t>
      </w:r>
      <w:r w:rsidR="007258A8" w:rsidRPr="00C574FE">
        <w:t>less</w:t>
      </w:r>
      <w:r w:rsidR="00E61982" w:rsidRPr="00C574FE">
        <w:t xml:space="preserve"> will be reported than under free report</w:t>
      </w:r>
      <w:r w:rsidR="007258A8" w:rsidRPr="00C574FE">
        <w:t>.  In a similar vein</w:t>
      </w:r>
      <w:r w:rsidR="00F30A4C" w:rsidRPr="00C574FE">
        <w:t>,</w:t>
      </w:r>
      <w:r w:rsidR="007258A8" w:rsidRPr="00C574FE">
        <w:t xml:space="preserve"> accuracy will </w:t>
      </w:r>
      <w:r w:rsidR="00526CB7" w:rsidRPr="00C574FE">
        <w:t xml:space="preserve">also </w:t>
      </w:r>
      <w:r w:rsidR="007258A8" w:rsidRPr="00C574FE">
        <w:t>vary depending on the questioning, with lots of c</w:t>
      </w:r>
      <w:r w:rsidR="00E61982" w:rsidRPr="00C574FE">
        <w:t xml:space="preserve">ued recall </w:t>
      </w:r>
      <w:r w:rsidR="007258A8" w:rsidRPr="00C574FE">
        <w:t>questions about very fine details (i.e., very difficult questions) probably undermining accuracy relative to free report much more than a few questions about very prominent d</w:t>
      </w:r>
      <w:r w:rsidR="00F30A4C" w:rsidRPr="00C574FE">
        <w:t>etails (i.e., easy questions).</w:t>
      </w:r>
    </w:p>
    <w:p w14:paraId="6EC539D1" w14:textId="22920781" w:rsidR="006C6C65" w:rsidRPr="00C574FE" w:rsidRDefault="00524379" w:rsidP="006C6C65">
      <w:pPr>
        <w:ind w:firstLine="426"/>
      </w:pPr>
      <w:r w:rsidRPr="00C574FE">
        <w:t xml:space="preserve">There is no neat </w:t>
      </w:r>
      <w:r w:rsidR="00277D52" w:rsidRPr="00C574FE">
        <w:t xml:space="preserve">or perfect </w:t>
      </w:r>
      <w:r w:rsidRPr="00C574FE">
        <w:t xml:space="preserve">way of resolving </w:t>
      </w:r>
      <w:r w:rsidR="007258A8" w:rsidRPr="00C574FE">
        <w:t xml:space="preserve">this </w:t>
      </w:r>
      <w:r w:rsidR="00CB5185" w:rsidRPr="00C574FE">
        <w:t>dilemma</w:t>
      </w:r>
      <w:r w:rsidR="00140CAE" w:rsidRPr="00C574FE">
        <w:t xml:space="preserve">.  </w:t>
      </w:r>
      <w:r w:rsidRPr="00C574FE">
        <w:t>O</w:t>
      </w:r>
      <w:r w:rsidR="00140CAE" w:rsidRPr="00C574FE">
        <w:t xml:space="preserve">ne </w:t>
      </w:r>
      <w:r w:rsidR="006C6C65" w:rsidRPr="00C574FE">
        <w:t xml:space="preserve">way of developing </w:t>
      </w:r>
      <w:r w:rsidR="00DA69B8" w:rsidRPr="00C574FE">
        <w:t>cued recall</w:t>
      </w:r>
      <w:r w:rsidR="006C6C65" w:rsidRPr="00C574FE">
        <w:t xml:space="preserve"> (or forced report) questions </w:t>
      </w:r>
      <w:r w:rsidR="00140CAE" w:rsidRPr="00C574FE">
        <w:t xml:space="preserve">would be to obtain a free report from each individual participant and </w:t>
      </w:r>
      <w:r w:rsidR="00CB5185" w:rsidRPr="00C574FE">
        <w:t>follow up</w:t>
      </w:r>
      <w:r w:rsidR="00140CAE" w:rsidRPr="00C574FE">
        <w:t xml:space="preserve"> each item reported with targeted c</w:t>
      </w:r>
      <w:r w:rsidR="00DA69B8" w:rsidRPr="00C574FE">
        <w:t>ued</w:t>
      </w:r>
      <w:r w:rsidR="00140CAE" w:rsidRPr="00C574FE">
        <w:t xml:space="preserve"> questions.  In other words, every partic</w:t>
      </w:r>
      <w:r w:rsidR="00AA1B21" w:rsidRPr="00C574FE">
        <w:t>i</w:t>
      </w:r>
      <w:r w:rsidR="00140CAE" w:rsidRPr="00C574FE">
        <w:t xml:space="preserve">pant </w:t>
      </w:r>
      <w:r w:rsidR="00DA69B8" w:rsidRPr="00C574FE">
        <w:t>could conceivably</w:t>
      </w:r>
      <w:r w:rsidR="00140CAE" w:rsidRPr="00C574FE">
        <w:t xml:space="preserve"> receive a different battery of </w:t>
      </w:r>
      <w:r w:rsidR="006C6C65" w:rsidRPr="00C574FE">
        <w:t>c</w:t>
      </w:r>
      <w:r w:rsidR="00DA69B8" w:rsidRPr="00C574FE">
        <w:t>ued</w:t>
      </w:r>
      <w:r w:rsidR="006C6C65" w:rsidRPr="00C574FE">
        <w:t xml:space="preserve"> </w:t>
      </w:r>
      <w:r w:rsidR="00140CAE" w:rsidRPr="00C574FE">
        <w:t xml:space="preserve">questions.  Another possibility would be to solicit free reports from a number of individuals and </w:t>
      </w:r>
      <w:r w:rsidR="00CB5185" w:rsidRPr="00C574FE">
        <w:t>follow up</w:t>
      </w:r>
      <w:r w:rsidR="00140CAE" w:rsidRPr="00C574FE">
        <w:t xml:space="preserve"> with </w:t>
      </w:r>
      <w:r w:rsidR="00140CAE" w:rsidRPr="00C574FE">
        <w:lastRenderedPageBreak/>
        <w:t>c</w:t>
      </w:r>
      <w:r w:rsidR="00DA69B8" w:rsidRPr="00C574FE">
        <w:t>ued</w:t>
      </w:r>
      <w:r w:rsidR="00140CAE" w:rsidRPr="00C574FE">
        <w:t xml:space="preserve"> questions about the </w:t>
      </w:r>
      <w:r w:rsidR="005E31DA" w:rsidRPr="00C574FE">
        <w:t xml:space="preserve">free report items </w:t>
      </w:r>
      <w:r w:rsidR="00140CAE" w:rsidRPr="00C574FE">
        <w:t>more commonly reported</w:t>
      </w:r>
      <w:r w:rsidR="005E31DA" w:rsidRPr="00C574FE">
        <w:t xml:space="preserve"> by the sample</w:t>
      </w:r>
      <w:r w:rsidR="00140CAE" w:rsidRPr="00C574FE">
        <w:t>.  Pilot testing using such an approach quickly revealed, however, that few coarse-grain items were volunteered in free report.</w:t>
      </w:r>
    </w:p>
    <w:p w14:paraId="1F47F586" w14:textId="7F65C22C" w:rsidR="006E40F6" w:rsidRPr="00C574FE" w:rsidRDefault="00AA1B21" w:rsidP="006C6C65">
      <w:pPr>
        <w:ind w:firstLine="426"/>
      </w:pPr>
      <w:r w:rsidRPr="00C574FE">
        <w:t>Consequently, we adopt</w:t>
      </w:r>
      <w:r w:rsidR="00A168C9" w:rsidRPr="00C574FE">
        <w:t>ed</w:t>
      </w:r>
      <w:r w:rsidRPr="00C574FE">
        <w:t xml:space="preserve"> the following approach</w:t>
      </w:r>
      <w:r w:rsidR="00277D52" w:rsidRPr="00C574FE">
        <w:t>, despite its limitations</w:t>
      </w:r>
      <w:r w:rsidRPr="00C574FE">
        <w:t xml:space="preserve">.  </w:t>
      </w:r>
      <w:r w:rsidR="006C6C65" w:rsidRPr="00C574FE">
        <w:t>We constructed an array of questions that could be asked about the appearance, clothing and actions of the people involved (i.e., perpetrators and bystanders or potential witnesses) and the crime location.  We chose this approach because</w:t>
      </w:r>
      <w:r w:rsidR="00524379" w:rsidRPr="00C574FE">
        <w:t>,</w:t>
      </w:r>
      <w:r w:rsidR="006C6C65" w:rsidRPr="00C574FE">
        <w:t xml:space="preserve"> if the forced report procedure showed promise as a supplement to information gained via </w:t>
      </w:r>
      <w:r w:rsidR="006F0A59" w:rsidRPr="00C574FE">
        <w:t>open-ended approaches</w:t>
      </w:r>
      <w:r w:rsidR="006C6C65" w:rsidRPr="00C574FE">
        <w:t xml:space="preserve">, it would be possible in practice to quickly gather initial background information about any particular case – </w:t>
      </w:r>
      <w:r w:rsidR="00F30A4C" w:rsidRPr="00C574FE">
        <w:t xml:space="preserve">for example, </w:t>
      </w:r>
      <w:r w:rsidR="006C6C65" w:rsidRPr="00C574FE">
        <w:t xml:space="preserve">how many offenders (which could lead to </w:t>
      </w:r>
      <w:r w:rsidR="00F30A4C" w:rsidRPr="00C574FE">
        <w:t xml:space="preserve">specific </w:t>
      </w:r>
      <w:r w:rsidR="006C6C65" w:rsidRPr="00C574FE">
        <w:t xml:space="preserve">person, </w:t>
      </w:r>
      <w:r w:rsidR="00361A36" w:rsidRPr="00C574FE">
        <w:t xml:space="preserve">role, </w:t>
      </w:r>
      <w:r w:rsidR="006C6C65" w:rsidRPr="00C574FE">
        <w:t>clothing and action questions</w:t>
      </w:r>
      <w:r w:rsidR="00361A36" w:rsidRPr="00C574FE">
        <w:t>); how many witnesses (leading to person, role and location descriptions)</w:t>
      </w:r>
      <w:r w:rsidR="006C6C65" w:rsidRPr="00C574FE">
        <w:t xml:space="preserve"> </w:t>
      </w:r>
      <w:r w:rsidR="00361A36" w:rsidRPr="00C574FE">
        <w:t xml:space="preserve">– and </w:t>
      </w:r>
      <w:r w:rsidR="006C6C65" w:rsidRPr="00C574FE">
        <w:t xml:space="preserve">then frame a set of </w:t>
      </w:r>
      <w:r w:rsidR="002F6BFE" w:rsidRPr="00C574FE">
        <w:t xml:space="preserve">relatively standardized </w:t>
      </w:r>
      <w:r w:rsidR="00DA69B8" w:rsidRPr="00C574FE">
        <w:t xml:space="preserve">cued </w:t>
      </w:r>
      <w:r w:rsidR="00361A36" w:rsidRPr="00C574FE">
        <w:t xml:space="preserve">coarse-grain </w:t>
      </w:r>
      <w:r w:rsidR="006C6C65" w:rsidRPr="00C574FE">
        <w:t>questions</w:t>
      </w:r>
      <w:r w:rsidR="00361A36" w:rsidRPr="00C574FE">
        <w:t xml:space="preserve"> targeting such characteristics.  However, </w:t>
      </w:r>
      <w:r w:rsidR="00360568" w:rsidRPr="00C574FE">
        <w:t xml:space="preserve">given (a) </w:t>
      </w:r>
      <w:r w:rsidR="00361A36" w:rsidRPr="00C574FE">
        <w:t xml:space="preserve">interviewees </w:t>
      </w:r>
      <w:r w:rsidR="006F0A59" w:rsidRPr="00C574FE">
        <w:t xml:space="preserve">exposed to open-ended questioning </w:t>
      </w:r>
      <w:r w:rsidR="00361A36" w:rsidRPr="00C574FE">
        <w:t xml:space="preserve">may be unlikely to </w:t>
      </w:r>
      <w:r w:rsidR="000975CB" w:rsidRPr="00C574FE">
        <w:t xml:space="preserve">ever </w:t>
      </w:r>
      <w:r w:rsidR="00361A36" w:rsidRPr="00C574FE">
        <w:t xml:space="preserve">report some of the details tapped by forced report questions, </w:t>
      </w:r>
      <w:r w:rsidR="00360568" w:rsidRPr="00C574FE">
        <w:t xml:space="preserve">and (b) </w:t>
      </w:r>
      <w:r w:rsidR="000448D9" w:rsidRPr="00C574FE">
        <w:t xml:space="preserve">our desire </w:t>
      </w:r>
      <w:r w:rsidR="001F13EA" w:rsidRPr="00C574FE">
        <w:t xml:space="preserve">to make some kind of meaningful </w:t>
      </w:r>
      <w:r w:rsidR="002F6BFE" w:rsidRPr="00C574FE">
        <w:t xml:space="preserve">comparative </w:t>
      </w:r>
      <w:r w:rsidR="001F13EA" w:rsidRPr="00C574FE">
        <w:t xml:space="preserve">evaluation of the information obtained from different interviewing approaches, </w:t>
      </w:r>
      <w:r w:rsidR="000448D9" w:rsidRPr="00C574FE">
        <w:t xml:space="preserve">we </w:t>
      </w:r>
      <w:r w:rsidR="00360568" w:rsidRPr="00C574FE">
        <w:t>excluded</w:t>
      </w:r>
      <w:r w:rsidR="000448D9" w:rsidRPr="00C574FE">
        <w:t xml:space="preserve"> </w:t>
      </w:r>
      <w:r w:rsidR="006E40F6" w:rsidRPr="00C574FE">
        <w:t xml:space="preserve">any items obtained under forced report that no one in any of the </w:t>
      </w:r>
      <w:r w:rsidR="006F0A59" w:rsidRPr="00C574FE">
        <w:t>open-ended</w:t>
      </w:r>
      <w:r w:rsidR="006E40F6" w:rsidRPr="00C574FE">
        <w:t xml:space="preserve"> conditions reported</w:t>
      </w:r>
      <w:r w:rsidR="00360568" w:rsidRPr="00C574FE">
        <w:t xml:space="preserve"> from any comparisons across interview conditions</w:t>
      </w:r>
      <w:r w:rsidR="006E40F6" w:rsidRPr="00C574FE">
        <w:t xml:space="preserve">. </w:t>
      </w:r>
      <w:r w:rsidR="006728AD" w:rsidRPr="00C574FE">
        <w:t xml:space="preserve">(See </w:t>
      </w:r>
      <w:r w:rsidR="00277D52" w:rsidRPr="00C574FE">
        <w:t xml:space="preserve">the </w:t>
      </w:r>
      <w:r w:rsidR="006728AD" w:rsidRPr="00C574FE">
        <w:t>Method section for more detailed discussion</w:t>
      </w:r>
      <w:r w:rsidR="00277D52" w:rsidRPr="00C574FE">
        <w:t xml:space="preserve"> and the Discussion section for the limitations associated with this approach</w:t>
      </w:r>
      <w:r w:rsidR="006728AD" w:rsidRPr="00C574FE">
        <w:t>.)</w:t>
      </w:r>
    </w:p>
    <w:p w14:paraId="4EA14E7A" w14:textId="52401AE9" w:rsidR="00A64BE6" w:rsidRPr="00C574FE" w:rsidRDefault="00524379" w:rsidP="00A76695">
      <w:pPr>
        <w:ind w:firstLine="426"/>
      </w:pPr>
      <w:r w:rsidRPr="00C574FE">
        <w:t>T</w:t>
      </w:r>
      <w:r w:rsidR="006E40F6" w:rsidRPr="00C574FE">
        <w:t>h</w:t>
      </w:r>
      <w:r w:rsidR="00CB5185" w:rsidRPr="00C574FE">
        <w:t xml:space="preserve">e </w:t>
      </w:r>
      <w:r w:rsidR="006E40F6" w:rsidRPr="00C574FE">
        <w:t>approach</w:t>
      </w:r>
      <w:r w:rsidR="00CB5185" w:rsidRPr="00C574FE">
        <w:t xml:space="preserve"> just outlined </w:t>
      </w:r>
      <w:r w:rsidR="006E40F6" w:rsidRPr="00C574FE">
        <w:t xml:space="preserve">does </w:t>
      </w:r>
      <w:r w:rsidR="006E40F6" w:rsidRPr="00C574FE">
        <w:rPr>
          <w:u w:val="single"/>
        </w:rPr>
        <w:t>not</w:t>
      </w:r>
      <w:r w:rsidR="006E40F6" w:rsidRPr="00C574FE">
        <w:t xml:space="preserve"> provide a magical solution to the problems associated with trying to make </w:t>
      </w:r>
      <w:r w:rsidR="00526CB7" w:rsidRPr="00C574FE">
        <w:t xml:space="preserve">definitive </w:t>
      </w:r>
      <w:r w:rsidR="006E40F6" w:rsidRPr="00C574FE">
        <w:t xml:space="preserve">output quantity and accuracy </w:t>
      </w:r>
      <w:r w:rsidR="00CB5185" w:rsidRPr="00C574FE">
        <w:t>comparisons</w:t>
      </w:r>
      <w:r w:rsidR="006E40F6" w:rsidRPr="00C574FE">
        <w:t xml:space="preserve"> across interview conditions.  </w:t>
      </w:r>
      <w:r w:rsidRPr="00C574FE">
        <w:t>But</w:t>
      </w:r>
      <w:r w:rsidR="006728AD" w:rsidRPr="00C574FE">
        <w:t xml:space="preserve"> </w:t>
      </w:r>
      <w:r w:rsidR="006E40F6" w:rsidRPr="00C574FE">
        <w:t>the compari</w:t>
      </w:r>
      <w:r w:rsidR="00CB5185" w:rsidRPr="00C574FE">
        <w:t>s</w:t>
      </w:r>
      <w:r w:rsidR="006E40F6" w:rsidRPr="00C574FE">
        <w:t xml:space="preserve">ons </w:t>
      </w:r>
      <w:r w:rsidR="00CB5185" w:rsidRPr="00C574FE">
        <w:t>should at least be</w:t>
      </w:r>
      <w:r w:rsidR="006E40F6" w:rsidRPr="00C574FE">
        <w:t xml:space="preserve"> </w:t>
      </w:r>
      <w:r w:rsidR="006E40F6" w:rsidRPr="00C574FE">
        <w:rPr>
          <w:i/>
        </w:rPr>
        <w:t xml:space="preserve">suggestive of the potential </w:t>
      </w:r>
      <w:r w:rsidR="006E40F6" w:rsidRPr="00C574FE">
        <w:t xml:space="preserve">of forced reporting of coarse-grain information for supplementing </w:t>
      </w:r>
      <w:r w:rsidR="006F0A59" w:rsidRPr="00C574FE">
        <w:t>open-ended</w:t>
      </w:r>
      <w:r w:rsidR="006E40F6" w:rsidRPr="00C574FE">
        <w:t xml:space="preserve"> reports.  </w:t>
      </w:r>
      <w:r w:rsidR="008728F7" w:rsidRPr="00C574FE">
        <w:t>Thus, i</w:t>
      </w:r>
      <w:r w:rsidR="00440C65" w:rsidRPr="00C574FE">
        <w:t xml:space="preserve">n all experiments participants were randomly assigned to either the grain size procedure condition or to one of several different </w:t>
      </w:r>
      <w:r w:rsidR="006F0A59" w:rsidRPr="00C574FE">
        <w:t>open-ended interviewing approaches</w:t>
      </w:r>
      <w:r w:rsidR="0069443B" w:rsidRPr="00C574FE">
        <w:t>, thereby providing some crude benchmarks for the extent of coarse-grain reporting</w:t>
      </w:r>
      <w:r w:rsidR="00A64BE6" w:rsidRPr="00C574FE">
        <w:t xml:space="preserve"> under different reporting conditions</w:t>
      </w:r>
      <w:r w:rsidR="0069443B" w:rsidRPr="00C574FE">
        <w:t xml:space="preserve">. </w:t>
      </w:r>
    </w:p>
    <w:p w14:paraId="1D4C8799" w14:textId="1F158CC3" w:rsidR="00D0061C" w:rsidRPr="00C574FE" w:rsidRDefault="00B77F9A" w:rsidP="00CA3753">
      <w:pPr>
        <w:ind w:firstLine="425"/>
      </w:pPr>
      <w:r w:rsidRPr="00C574FE">
        <w:lastRenderedPageBreak/>
        <w:t>W</w:t>
      </w:r>
      <w:r w:rsidR="00D0061C" w:rsidRPr="00C574FE">
        <w:t xml:space="preserve">e describe the differences between </w:t>
      </w:r>
      <w:r w:rsidR="00F14FB8" w:rsidRPr="00C574FE">
        <w:t>E</w:t>
      </w:r>
      <w:r w:rsidR="00D0061C" w:rsidRPr="00C574FE">
        <w:t>xperiment</w:t>
      </w:r>
      <w:r w:rsidR="00F14FB8" w:rsidRPr="00C574FE">
        <w:t>s 1</w:t>
      </w:r>
      <w:r w:rsidR="006F431E" w:rsidRPr="00C574FE">
        <w:t xml:space="preserve">, 2 and </w:t>
      </w:r>
      <w:r w:rsidR="00830843" w:rsidRPr="00C574FE">
        <w:t>3</w:t>
      </w:r>
      <w:r w:rsidR="00D0061C" w:rsidRPr="00C574FE">
        <w:t xml:space="preserve"> </w:t>
      </w:r>
      <w:r w:rsidR="003D3623" w:rsidRPr="00C574FE">
        <w:t xml:space="preserve">in the </w:t>
      </w:r>
      <w:r w:rsidRPr="00C574FE">
        <w:t>next</w:t>
      </w:r>
      <w:r w:rsidR="003D3623" w:rsidRPr="00C574FE">
        <w:t xml:space="preserve"> section</w:t>
      </w:r>
      <w:r w:rsidRPr="00C574FE">
        <w:t xml:space="preserve"> and then </w:t>
      </w:r>
      <w:r w:rsidR="00D0061C" w:rsidRPr="00C574FE">
        <w:t xml:space="preserve">present the Method and Results for </w:t>
      </w:r>
      <w:r w:rsidR="00F14FB8" w:rsidRPr="00C574FE">
        <w:t xml:space="preserve">these </w:t>
      </w:r>
      <w:r w:rsidR="00D0061C" w:rsidRPr="00C574FE">
        <w:t xml:space="preserve">experiments in </w:t>
      </w:r>
      <w:r w:rsidR="00E0651C" w:rsidRPr="00C574FE">
        <w:t>a single M</w:t>
      </w:r>
      <w:r w:rsidR="00D0061C" w:rsidRPr="00C574FE">
        <w:t>ethod and Results sections.</w:t>
      </w:r>
      <w:r w:rsidR="00F14FB8" w:rsidRPr="00C574FE">
        <w:t xml:space="preserve">  </w:t>
      </w:r>
    </w:p>
    <w:p w14:paraId="0F42BA7F" w14:textId="77777777" w:rsidR="005A6580" w:rsidRPr="00C574FE" w:rsidRDefault="00A42F93" w:rsidP="00277D52">
      <w:pPr>
        <w:rPr>
          <w:b/>
        </w:rPr>
      </w:pPr>
      <w:r w:rsidRPr="00C574FE">
        <w:rPr>
          <w:b/>
        </w:rPr>
        <w:t>Experiment 1</w:t>
      </w:r>
    </w:p>
    <w:p w14:paraId="1BFAB3EE" w14:textId="2D42C3C2" w:rsidR="00A42F93" w:rsidRPr="00C574FE" w:rsidRDefault="00B77F9A" w:rsidP="00A42F93">
      <w:pPr>
        <w:ind w:firstLine="425"/>
      </w:pPr>
      <w:r w:rsidRPr="00C574FE">
        <w:t>W</w:t>
      </w:r>
      <w:r w:rsidR="00A42F93" w:rsidRPr="00C574FE">
        <w:t>e requir</w:t>
      </w:r>
      <w:r w:rsidRPr="00C574FE">
        <w:t>ed</w:t>
      </w:r>
      <w:r w:rsidR="00A42F93" w:rsidRPr="00C574FE">
        <w:t xml:space="preserve"> adult witnesses to a simulated crime to provide written answers to a series of c</w:t>
      </w:r>
      <w:r w:rsidR="000448D9" w:rsidRPr="00C574FE">
        <w:t>ued recall</w:t>
      </w:r>
      <w:r w:rsidR="00A42F93" w:rsidRPr="00C574FE">
        <w:t xml:space="preserve"> interview questions with both a coarse- and fine-grain response (</w:t>
      </w:r>
      <w:r w:rsidR="00360568" w:rsidRPr="00C574FE">
        <w:t xml:space="preserve">hereafter referred to as </w:t>
      </w:r>
      <w:r w:rsidR="00C2369E" w:rsidRPr="00C574FE">
        <w:t>f</w:t>
      </w:r>
      <w:r w:rsidR="00A42F93" w:rsidRPr="00C574FE">
        <w:t xml:space="preserve">orced </w:t>
      </w:r>
      <w:r w:rsidR="00C2369E" w:rsidRPr="00C574FE">
        <w:t>r</w:t>
      </w:r>
      <w:r w:rsidR="00A42F93" w:rsidRPr="00C574FE">
        <w:t xml:space="preserve">eport: </w:t>
      </w:r>
      <w:r w:rsidR="00C2369E" w:rsidRPr="00C574FE">
        <w:t>i</w:t>
      </w:r>
      <w:r w:rsidR="00A42F93" w:rsidRPr="00C574FE">
        <w:t>nitial), and a confidence assessment for each response, followed by reporting of their preferred response (</w:t>
      </w:r>
      <w:r w:rsidR="00360568" w:rsidRPr="00C574FE">
        <w:t>hereafter</w:t>
      </w:r>
      <w:r w:rsidRPr="00C574FE">
        <w:t>,</w:t>
      </w:r>
      <w:r w:rsidR="00360568" w:rsidRPr="00C574FE">
        <w:t xml:space="preserve"> </w:t>
      </w:r>
      <w:r w:rsidR="00C2369E" w:rsidRPr="00C574FE">
        <w:t>f</w:t>
      </w:r>
      <w:r w:rsidR="00A42F93" w:rsidRPr="00C574FE">
        <w:t xml:space="preserve">orced </w:t>
      </w:r>
      <w:r w:rsidR="00C2369E" w:rsidRPr="00C574FE">
        <w:t>r</w:t>
      </w:r>
      <w:r w:rsidR="00A42F93" w:rsidRPr="00C574FE">
        <w:t xml:space="preserve">eport: </w:t>
      </w:r>
      <w:r w:rsidR="00C2369E" w:rsidRPr="00C574FE">
        <w:t>p</w:t>
      </w:r>
      <w:r w:rsidR="00A42F93" w:rsidRPr="00C574FE">
        <w:t xml:space="preserve">referred).  We used a written interview format in Experiment 1 (and </w:t>
      </w:r>
      <w:r w:rsidR="006728AD" w:rsidRPr="00C574FE">
        <w:t>3</w:t>
      </w:r>
      <w:r w:rsidR="00A42F93" w:rsidRPr="00C574FE">
        <w:t xml:space="preserve">) for two practical reasons.  First, </w:t>
      </w:r>
      <w:r w:rsidR="00A346B1" w:rsidRPr="00C574FE">
        <w:t>there are two published studies demonstrating that the</w:t>
      </w:r>
      <w:r w:rsidR="00A42F93" w:rsidRPr="00C574FE">
        <w:t xml:space="preserve"> pencil-and-paper format has been used effectively to examine eyewitness reporting (e.g., McCallum et al., 2016; Weber &amp; Brewer, 2008).  Second, it provided an opportunity to conduct a preliminary and economical investigation of our hypotheses.  </w:t>
      </w:r>
      <w:r w:rsidR="00A346B1" w:rsidRPr="00C574FE">
        <w:t xml:space="preserve">Second, </w:t>
      </w:r>
      <w:r w:rsidR="002E5EAE" w:rsidRPr="00C574FE">
        <w:t>investigators</w:t>
      </w:r>
      <w:r w:rsidR="00A42F93" w:rsidRPr="00C574FE">
        <w:t xml:space="preserve"> </w:t>
      </w:r>
      <w:r w:rsidR="00BA719C" w:rsidRPr="00C574FE">
        <w:t xml:space="preserve">sometimes </w:t>
      </w:r>
      <w:r w:rsidR="002E5EAE" w:rsidRPr="00C574FE">
        <w:t xml:space="preserve">use </w:t>
      </w:r>
      <w:r w:rsidR="00A42F93" w:rsidRPr="00C574FE">
        <w:t>written protocols</w:t>
      </w:r>
      <w:r w:rsidR="002E5EAE" w:rsidRPr="00C574FE">
        <w:t xml:space="preserve"> to elicit information initially from witnesses (e.g.</w:t>
      </w:r>
      <w:r w:rsidR="000448D9" w:rsidRPr="00C574FE">
        <w:t>,</w:t>
      </w:r>
      <w:r w:rsidR="002E5EAE" w:rsidRPr="00C574FE">
        <w:t xml:space="preserve"> </w:t>
      </w:r>
      <w:r w:rsidR="000448D9" w:rsidRPr="00C574FE">
        <w:t>SAI</w:t>
      </w:r>
      <w:r w:rsidR="007C09EF" w:rsidRPr="00C574FE">
        <w:rPr>
          <w:vertAlign w:val="superscript"/>
        </w:rPr>
        <w:t>©</w:t>
      </w:r>
      <w:r w:rsidR="002E5EAE" w:rsidRPr="00C574FE">
        <w:t>, Gabbert</w:t>
      </w:r>
      <w:r w:rsidR="007255FB" w:rsidRPr="00C574FE">
        <w:t xml:space="preserve"> et al.</w:t>
      </w:r>
      <w:r w:rsidR="002E5EAE" w:rsidRPr="00C574FE">
        <w:t>, 2009; Hope, Gabbert</w:t>
      </w:r>
      <w:r w:rsidR="000448D9" w:rsidRPr="00C574FE">
        <w:t>,</w:t>
      </w:r>
      <w:r w:rsidR="002E5EAE" w:rsidRPr="00C574FE">
        <w:t xml:space="preserve"> &amp; Fisher, 2011)</w:t>
      </w:r>
      <w:r w:rsidR="00A42F93" w:rsidRPr="00C574FE">
        <w:t xml:space="preserve">.  Our focus was on the quantity of </w:t>
      </w:r>
      <w:r w:rsidR="00FF55B3" w:rsidRPr="00C574FE">
        <w:t xml:space="preserve">coarse-grain </w:t>
      </w:r>
      <w:r w:rsidR="00A42F93" w:rsidRPr="00C574FE">
        <w:t>accurate outputs</w:t>
      </w:r>
      <w:r w:rsidR="007C09EF" w:rsidRPr="00C574FE">
        <w:t xml:space="preserve">, overall </w:t>
      </w:r>
      <w:r w:rsidR="00FF55B3" w:rsidRPr="00C574FE">
        <w:t xml:space="preserve">coarse-grain </w:t>
      </w:r>
      <w:r w:rsidR="007C09EF" w:rsidRPr="00C574FE">
        <w:t>accuracy levels,</w:t>
      </w:r>
      <w:r w:rsidR="00A42F93" w:rsidRPr="00C574FE">
        <w:t xml:space="preserve"> and </w:t>
      </w:r>
      <w:r w:rsidR="00FF55B3" w:rsidRPr="00C574FE">
        <w:t xml:space="preserve">how </w:t>
      </w:r>
      <w:r w:rsidR="00A42F93" w:rsidRPr="00C574FE">
        <w:t xml:space="preserve">the proportion of accurate </w:t>
      </w:r>
      <w:r w:rsidR="00FF55B3" w:rsidRPr="00C574FE">
        <w:t xml:space="preserve">coarse-grain </w:t>
      </w:r>
      <w:r w:rsidR="00A42F93" w:rsidRPr="00C574FE">
        <w:t xml:space="preserve">responses varied in association with item-level confidence judgments.  </w:t>
      </w:r>
    </w:p>
    <w:p w14:paraId="063508D8" w14:textId="44F345D1" w:rsidR="006B4D2E" w:rsidRPr="00C574FE" w:rsidRDefault="00A42F93" w:rsidP="00A42F93">
      <w:pPr>
        <w:ind w:firstLine="426"/>
      </w:pPr>
      <w:r w:rsidRPr="00C574FE">
        <w:t xml:space="preserve">Coarse-grain outputs from this forced report procedure were </w:t>
      </w:r>
      <w:r w:rsidR="00526CB7" w:rsidRPr="00C574FE">
        <w:t xml:space="preserve">contrasted with </w:t>
      </w:r>
      <w:r w:rsidRPr="00C574FE">
        <w:t xml:space="preserve">outputs under </w:t>
      </w:r>
      <w:r w:rsidR="00A315DC" w:rsidRPr="00C574FE">
        <w:t xml:space="preserve">an </w:t>
      </w:r>
      <w:r w:rsidR="006728AD" w:rsidRPr="00C574FE">
        <w:t xml:space="preserve">established </w:t>
      </w:r>
      <w:r w:rsidR="00A315DC" w:rsidRPr="00C574FE">
        <w:t xml:space="preserve">open-ended interview procedure, an adapted </w:t>
      </w:r>
      <w:r w:rsidR="00BA1990" w:rsidRPr="00C574FE">
        <w:t xml:space="preserve">version of the </w:t>
      </w:r>
      <w:r w:rsidR="00A315DC" w:rsidRPr="00C574FE">
        <w:t>SAI</w:t>
      </w:r>
      <w:r w:rsidR="00A315DC" w:rsidRPr="00C574FE">
        <w:rPr>
          <w:vertAlign w:val="superscript"/>
        </w:rPr>
        <w:t>©</w:t>
      </w:r>
      <w:r w:rsidR="00A315DC" w:rsidRPr="00C574FE">
        <w:t xml:space="preserve"> (Gabbert et al., 2009)</w:t>
      </w:r>
      <w:r w:rsidR="00794C0A" w:rsidRPr="00C574FE">
        <w:t xml:space="preserve">, as well as against two other </w:t>
      </w:r>
      <w:r w:rsidR="00526CB7" w:rsidRPr="00C574FE">
        <w:t xml:space="preserve">“report everything” </w:t>
      </w:r>
      <w:r w:rsidR="00794C0A" w:rsidRPr="00C574FE">
        <w:t>free recall conditions</w:t>
      </w:r>
      <w:r w:rsidR="00A315DC" w:rsidRPr="00C574FE">
        <w:t>.  The SAI</w:t>
      </w:r>
      <w:r w:rsidR="00A315DC" w:rsidRPr="00C574FE">
        <w:rPr>
          <w:vertAlign w:val="superscript"/>
        </w:rPr>
        <w:t>©</w:t>
      </w:r>
      <w:r w:rsidR="00A315DC" w:rsidRPr="00C574FE">
        <w:t xml:space="preserve"> (Gabbert et al., 2009)</w:t>
      </w:r>
      <w:r w:rsidR="00794C0A" w:rsidRPr="00C574FE">
        <w:t xml:space="preserve"> is </w:t>
      </w:r>
      <w:r w:rsidR="00A315DC" w:rsidRPr="00C574FE">
        <w:t>a protocol of instructions and questions drawing on the Cognitive Interview technique and designed to elicit a written free-recall statement from witnesses, followed by a number of open-ended prompts (see later section on Interview Protocols</w:t>
      </w:r>
      <w:r w:rsidR="00526CB7" w:rsidRPr="00C574FE">
        <w:t xml:space="preserve"> for detailed information</w:t>
      </w:r>
      <w:r w:rsidR="00A315DC" w:rsidRPr="00C574FE">
        <w:t>).  Like the Cognitive interview, the SAI</w:t>
      </w:r>
      <w:r w:rsidR="00A315DC" w:rsidRPr="00C574FE">
        <w:rPr>
          <w:vertAlign w:val="superscript"/>
        </w:rPr>
        <w:t>©</w:t>
      </w:r>
      <w:r w:rsidR="00A315DC" w:rsidRPr="00C574FE">
        <w:t xml:space="preserve"> has been shown to outperform standard free recall by increasing output quantity without compromising accuracy (Gabbert et al., 2009)</w:t>
      </w:r>
      <w:r w:rsidR="00794C0A" w:rsidRPr="00C574FE">
        <w:t>.  Thus, the SAI</w:t>
      </w:r>
      <w:r w:rsidR="00794C0A" w:rsidRPr="00C574FE">
        <w:rPr>
          <w:vertAlign w:val="superscript"/>
        </w:rPr>
        <w:t>©</w:t>
      </w:r>
      <w:r w:rsidR="00794C0A" w:rsidRPr="00C574FE">
        <w:t xml:space="preserve"> </w:t>
      </w:r>
      <w:r w:rsidR="00A315DC" w:rsidRPr="00C574FE">
        <w:t>provid</w:t>
      </w:r>
      <w:r w:rsidR="00794C0A" w:rsidRPr="00C574FE">
        <w:t>es</w:t>
      </w:r>
      <w:r w:rsidR="00A315DC" w:rsidRPr="00C574FE">
        <w:t xml:space="preserve"> a contrast of coarse-grain reporting under forced report with that elicited by a procedure </w:t>
      </w:r>
      <w:r w:rsidR="007E0B63" w:rsidRPr="00C574FE">
        <w:t xml:space="preserve">used in investigative interviewing and </w:t>
      </w:r>
      <w:r w:rsidR="00A315DC" w:rsidRPr="00C574FE">
        <w:t xml:space="preserve">considered likely to </w:t>
      </w:r>
      <w:r w:rsidR="00A315DC" w:rsidRPr="00C574FE">
        <w:lastRenderedPageBreak/>
        <w:t>optimize interviewee performance.</w:t>
      </w:r>
      <w:r w:rsidR="00794C0A" w:rsidRPr="00C574FE">
        <w:t xml:space="preserve">  The t</w:t>
      </w:r>
      <w:r w:rsidR="00A315DC" w:rsidRPr="00C574FE">
        <w:t xml:space="preserve">wo other free recall conditions </w:t>
      </w:r>
      <w:r w:rsidR="00794C0A" w:rsidRPr="00C574FE">
        <w:t>were</w:t>
      </w:r>
      <w:r w:rsidR="00A315DC" w:rsidRPr="00C574FE">
        <w:t xml:space="preserve">: (i) </w:t>
      </w:r>
      <w:r w:rsidRPr="00C574FE">
        <w:t xml:space="preserve">free recall </w:t>
      </w:r>
      <w:r w:rsidR="00794C0A" w:rsidRPr="00C574FE">
        <w:t xml:space="preserve">(similar to Gabbert et al.’s (2009) free recall condition) </w:t>
      </w:r>
      <w:r w:rsidR="00A315DC" w:rsidRPr="00C574FE">
        <w:t xml:space="preserve">and </w:t>
      </w:r>
      <w:r w:rsidRPr="00C574FE">
        <w:t>(i</w:t>
      </w:r>
      <w:r w:rsidR="00A315DC" w:rsidRPr="00C574FE">
        <w:t>i</w:t>
      </w:r>
      <w:r w:rsidRPr="00C574FE">
        <w:t xml:space="preserve">) free recall </w:t>
      </w:r>
      <w:r w:rsidR="007C09EF" w:rsidRPr="00C574FE">
        <w:t xml:space="preserve">plus </w:t>
      </w:r>
      <w:r w:rsidRPr="00C574FE">
        <w:t xml:space="preserve">confidence.  </w:t>
      </w:r>
      <w:r w:rsidR="007E0B63" w:rsidRPr="00C574FE">
        <w:t>Unlike the SAI</w:t>
      </w:r>
      <w:r w:rsidR="007E0B63" w:rsidRPr="00C574FE">
        <w:rPr>
          <w:vertAlign w:val="superscript"/>
        </w:rPr>
        <w:t>©</w:t>
      </w:r>
      <w:r w:rsidR="007E0B63" w:rsidRPr="00C574FE">
        <w:t xml:space="preserve"> t</w:t>
      </w:r>
      <w:r w:rsidR="006E0A2A" w:rsidRPr="00C574FE">
        <w:t xml:space="preserve">hese two conditions did not include systematic </w:t>
      </w:r>
      <w:r w:rsidR="00526CB7" w:rsidRPr="00C574FE">
        <w:t xml:space="preserve">follow-up </w:t>
      </w:r>
      <w:r w:rsidR="006E0A2A" w:rsidRPr="00C574FE">
        <w:t xml:space="preserve">prompting regarding </w:t>
      </w:r>
      <w:r w:rsidR="0047360E" w:rsidRPr="00C574FE">
        <w:t>the people and events</w:t>
      </w:r>
      <w:r w:rsidR="00343A65" w:rsidRPr="00C574FE">
        <w:t xml:space="preserve"> and might, therefore, be considered to be low fidelity open interview formats</w:t>
      </w:r>
      <w:r w:rsidR="0047360E" w:rsidRPr="00C574FE">
        <w:t xml:space="preserve">.  </w:t>
      </w:r>
      <w:r w:rsidRPr="00C574FE">
        <w:t>In the</w:t>
      </w:r>
      <w:r w:rsidR="00794C0A" w:rsidRPr="00C574FE">
        <w:t>se</w:t>
      </w:r>
      <w:r w:rsidR="00A315DC" w:rsidRPr="00C574FE">
        <w:t xml:space="preserve"> two </w:t>
      </w:r>
      <w:r w:rsidRPr="00C574FE">
        <w:t>condition</w:t>
      </w:r>
      <w:r w:rsidR="00A315DC" w:rsidRPr="00C574FE">
        <w:t>s</w:t>
      </w:r>
      <w:r w:rsidRPr="00C574FE">
        <w:t xml:space="preserve"> witnesses provided a written report, </w:t>
      </w:r>
      <w:r w:rsidR="00526CB7" w:rsidRPr="00C574FE">
        <w:t xml:space="preserve">with instructions to </w:t>
      </w:r>
      <w:r w:rsidR="00BA1990" w:rsidRPr="00C574FE">
        <w:t>report</w:t>
      </w:r>
      <w:r w:rsidR="00526CB7" w:rsidRPr="00C574FE">
        <w:t xml:space="preserve"> </w:t>
      </w:r>
      <w:r w:rsidRPr="00C574FE">
        <w:t xml:space="preserve">line-by-line as many items as they could remember.  In the free recall </w:t>
      </w:r>
      <w:r w:rsidR="007C09EF" w:rsidRPr="00C574FE">
        <w:t xml:space="preserve">plus </w:t>
      </w:r>
      <w:r w:rsidRPr="00C574FE">
        <w:t xml:space="preserve">confidence condition, witnesses provided a confidence assessment for each item of information reported.  This condition was included to check the possibility that reporting confidence item-by-item </w:t>
      </w:r>
      <w:r w:rsidR="00C2369E" w:rsidRPr="00C574FE">
        <w:t xml:space="preserve">might sensitize witnesses to memory strength for each item and </w:t>
      </w:r>
      <w:r w:rsidRPr="00C574FE">
        <w:t xml:space="preserve">affect outputs, perhaps by influencing the criterion for reporting.  </w:t>
      </w:r>
      <w:r w:rsidR="009009A6" w:rsidRPr="00C574FE">
        <w:t xml:space="preserve">The three free recall conditions were included to allow for the possibility that coarse-grain reporting might be sensitive to one or other approach, but we made no predictions regarding </w:t>
      </w:r>
      <w:r w:rsidR="00CD444E" w:rsidRPr="00C574FE">
        <w:t xml:space="preserve">likely </w:t>
      </w:r>
      <w:r w:rsidR="009009A6" w:rsidRPr="00C574FE">
        <w:t xml:space="preserve">performance differences between these conditions.  </w:t>
      </w:r>
      <w:r w:rsidR="006B4D2E" w:rsidRPr="00C574FE">
        <w:t>Figure 1 summarizes the key features of the different interview conditions used in Experiment 1 (and subsequent experiments).</w:t>
      </w:r>
    </w:p>
    <w:p w14:paraId="43BF262C" w14:textId="0DBF8AA7" w:rsidR="00A42F93" w:rsidRPr="00C574FE" w:rsidRDefault="00B77F9A" w:rsidP="00A42F93">
      <w:pPr>
        <w:ind w:firstLine="426"/>
      </w:pPr>
      <w:r w:rsidRPr="00C574FE">
        <w:t>F</w:t>
      </w:r>
      <w:r w:rsidR="00A42F93" w:rsidRPr="00C574FE">
        <w:t xml:space="preserve">orced reporting of coarse-grain details obviously will increase output quantity compared with other interviewing approaches.  Some decline in overall accuracy is also to be expected although the </w:t>
      </w:r>
      <w:r w:rsidR="00FF55B3" w:rsidRPr="00C574FE">
        <w:t xml:space="preserve">total </w:t>
      </w:r>
      <w:r w:rsidR="00A42F93" w:rsidRPr="00C574FE">
        <w:t>number of accurate items reported should increase.  Moreover, given the expected re</w:t>
      </w:r>
      <w:r w:rsidR="008B07D9" w:rsidRPr="00C574FE">
        <w:t>lationship</w:t>
      </w:r>
      <w:r w:rsidR="00A42F93" w:rsidRPr="00C574FE">
        <w:t xml:space="preserve"> between confidence and accuracy of reported items, we anticipated high accuracy for coarse-grain items reported with high confidence.  Similar patterns were expected for fine-grain details although the accuracy decrement for fine-grain reports should be greater and, given that overconfidence is generally more marked when task difficulty is higher</w:t>
      </w:r>
      <w:r w:rsidR="00983D14" w:rsidRPr="00C574FE">
        <w:t xml:space="preserve"> (</w:t>
      </w:r>
      <w:r w:rsidR="00A8507A" w:rsidRPr="00C574FE">
        <w:t>Gigerenzer</w:t>
      </w:r>
      <w:r w:rsidR="00C2406A" w:rsidRPr="00C574FE">
        <w:t xml:space="preserve"> et al.</w:t>
      </w:r>
      <w:r w:rsidR="00A8507A" w:rsidRPr="00C574FE">
        <w:rPr>
          <w:rFonts w:ascii="Times-Roman" w:hAnsi="Times-Roman" w:cs="Times-Roman"/>
          <w:lang w:val="en-AU" w:eastAsia="zh-CN"/>
        </w:rPr>
        <w:t>, 1991; Weber &amp; Brewer, 2004</w:t>
      </w:r>
      <w:r w:rsidR="00A8507A" w:rsidRPr="00C574FE">
        <w:rPr>
          <w:rFonts w:ascii="Times-Roman" w:hAnsi="Times-Roman" w:cs="Times-Roman"/>
          <w:color w:val="000000"/>
          <w:lang w:val="en-AU" w:eastAsia="zh-CN"/>
        </w:rPr>
        <w:t>)</w:t>
      </w:r>
      <w:r w:rsidR="00A42F93" w:rsidRPr="00C574FE">
        <w:t xml:space="preserve">, high confidence is unlikely to be as reliable an index of accuracy as it is for coarse-grain items.  </w:t>
      </w:r>
    </w:p>
    <w:p w14:paraId="1D48E105" w14:textId="77777777" w:rsidR="005A6580" w:rsidRPr="00C574FE" w:rsidRDefault="00692C3D" w:rsidP="00CD444E">
      <w:pPr>
        <w:rPr>
          <w:b/>
        </w:rPr>
      </w:pPr>
      <w:r w:rsidRPr="00C574FE">
        <w:rPr>
          <w:b/>
        </w:rPr>
        <w:t>Experiment</w:t>
      </w:r>
      <w:r w:rsidR="00830843" w:rsidRPr="00C574FE">
        <w:rPr>
          <w:b/>
        </w:rPr>
        <w:t xml:space="preserve"> 2</w:t>
      </w:r>
    </w:p>
    <w:p w14:paraId="7C92E56D" w14:textId="69F41A75" w:rsidR="00692C3D" w:rsidRPr="00C574FE" w:rsidRDefault="00B77F9A" w:rsidP="00692C3D">
      <w:pPr>
        <w:ind w:firstLine="426"/>
      </w:pPr>
      <w:r w:rsidRPr="00C574FE">
        <w:lastRenderedPageBreak/>
        <w:t>W</w:t>
      </w:r>
      <w:r w:rsidR="00692C3D" w:rsidRPr="00C574FE">
        <w:rPr>
          <w:rFonts w:eastAsia="Batang"/>
          <w:bCs/>
        </w:rPr>
        <w:t xml:space="preserve">e conducted all interviews individually using verbal rather than written reports, reduced the number of </w:t>
      </w:r>
      <w:r w:rsidR="009B3132" w:rsidRPr="00C574FE">
        <w:rPr>
          <w:rFonts w:eastAsia="Batang"/>
          <w:bCs/>
        </w:rPr>
        <w:t xml:space="preserve">cued recall </w:t>
      </w:r>
      <w:r w:rsidR="00692C3D" w:rsidRPr="00C574FE">
        <w:rPr>
          <w:rFonts w:eastAsia="Batang"/>
          <w:bCs/>
        </w:rPr>
        <w:t>interview questions</w:t>
      </w:r>
      <w:r w:rsidR="006F431E" w:rsidRPr="00C574FE">
        <w:rPr>
          <w:rFonts w:eastAsia="Batang"/>
          <w:bCs/>
        </w:rPr>
        <w:t xml:space="preserve">, and </w:t>
      </w:r>
      <w:r w:rsidR="00692C3D" w:rsidRPr="00C574FE">
        <w:rPr>
          <w:rFonts w:eastAsia="Batang"/>
          <w:bCs/>
        </w:rPr>
        <w:t xml:space="preserve">used </w:t>
      </w:r>
      <w:r w:rsidR="00692C3D" w:rsidRPr="00C574FE">
        <w:t xml:space="preserve">only three interview techniques: the verbal grain size procedure, the </w:t>
      </w:r>
      <w:r w:rsidR="00983D14" w:rsidRPr="00C574FE">
        <w:t xml:space="preserve">adapted </w:t>
      </w:r>
      <w:r w:rsidR="00692C3D" w:rsidRPr="00C574FE">
        <w:t>SAI</w:t>
      </w:r>
      <w:r w:rsidR="000E297B" w:rsidRPr="00C574FE">
        <w:rPr>
          <w:vertAlign w:val="superscript"/>
        </w:rPr>
        <w:t>©</w:t>
      </w:r>
      <w:r w:rsidR="00692C3D" w:rsidRPr="00C574FE">
        <w:t xml:space="preserve">, and the free recall </w:t>
      </w:r>
      <w:r w:rsidR="00983D14" w:rsidRPr="00C574FE">
        <w:t xml:space="preserve">plus </w:t>
      </w:r>
      <w:r w:rsidR="00692C3D" w:rsidRPr="00C574FE">
        <w:t>confi</w:t>
      </w:r>
      <w:r w:rsidRPr="00C574FE">
        <w:t>dence interview).</w:t>
      </w:r>
    </w:p>
    <w:p w14:paraId="1CB8EFF0" w14:textId="77777777" w:rsidR="005A6580" w:rsidRPr="00C574FE" w:rsidRDefault="006F431E" w:rsidP="00030BBB">
      <w:pPr>
        <w:rPr>
          <w:b/>
        </w:rPr>
      </w:pPr>
      <w:r w:rsidRPr="00C574FE">
        <w:rPr>
          <w:b/>
        </w:rPr>
        <w:t>Experiment 3</w:t>
      </w:r>
    </w:p>
    <w:p w14:paraId="2EEA2E98" w14:textId="48C6B907" w:rsidR="006F431E" w:rsidRPr="00C574FE" w:rsidRDefault="00B77F9A" w:rsidP="006F431E">
      <w:pPr>
        <w:ind w:firstLine="426"/>
      </w:pPr>
      <w:r w:rsidRPr="00C574FE">
        <w:t>W</w:t>
      </w:r>
      <w:r w:rsidR="006F431E" w:rsidRPr="00C574FE">
        <w:t>e examined the generalizability of the findings using a different stimulus event.  Use of the grain size procedure is obviously restricted to cued recall questions for which both fine- and coarse-grained responses can be generated.  The grain size procedure used in Experiments 1 and 2 not only effectively encompassed numeric and color questions but also demonstrated that grain size distinctions can be elicited for characteristics such as hair length (e.g., fine-grain: crew cut, past shoulders; coarse-grain: short, long) and locations (e.g., fine-grain: at the counter, behind the back desk; coarse-grain: back of bank, front of bank).  Thus, questions in the bank robbery grain size procedure could be categorized as (1) color questions relating to characters’ clothing, features, and accessories, (2) color questions relating to objects, (3) numeric questions, (4) distance or length questions, and (5) location questions.</w:t>
      </w:r>
    </w:p>
    <w:p w14:paraId="690A48BF" w14:textId="5F0D6C69" w:rsidR="006F431E" w:rsidRPr="00C574FE" w:rsidRDefault="006F431E" w:rsidP="006F431E">
      <w:pPr>
        <w:pStyle w:val="ANPhDThesisBody"/>
        <w:rPr>
          <w:szCs w:val="24"/>
        </w:rPr>
      </w:pPr>
      <w:r w:rsidRPr="00C574FE">
        <w:rPr>
          <w:szCs w:val="24"/>
        </w:rPr>
        <w:t>However, recall that in Experiments 1</w:t>
      </w:r>
      <w:r w:rsidR="00810500" w:rsidRPr="00C574FE">
        <w:rPr>
          <w:szCs w:val="24"/>
        </w:rPr>
        <w:t xml:space="preserve"> and 2</w:t>
      </w:r>
      <w:r w:rsidRPr="00C574FE">
        <w:rPr>
          <w:szCs w:val="24"/>
        </w:rPr>
        <w:t xml:space="preserve"> we excluded responses to grain-size procedure questions from comparisons between conditions if they were never reported under open-ended questioning conditions.  Those grain size details that were unreported in the open-ended conditions were predominantly details regarding the color of characters’ accessories, the color of less central characters’ clothing, and numeric details which involved making quantitative grain size distinctions on qualitative actions (e.g., responses to grain size questions about the length of time it took robbers to complete a certain action or how often characters spoke to other characters, perhaps better reported in open-ended techniques as qualitative descriptions of the sequence of events).  The relevance (or probative value) of details such as these will obviously vary depending on the characteristics of the stimulus event (and, of course, the other evidence available to investigators).  To examine the generality of our findings thus far, Experiment</w:t>
      </w:r>
      <w:r w:rsidR="00810500" w:rsidRPr="00C574FE">
        <w:rPr>
          <w:szCs w:val="24"/>
        </w:rPr>
        <w:t xml:space="preserve"> 3</w:t>
      </w:r>
      <w:r w:rsidRPr="00C574FE">
        <w:rPr>
          <w:szCs w:val="24"/>
        </w:rPr>
        <w:t xml:space="preserve"> replicated Experiments 1 and 2 using a different stimulus event.  </w:t>
      </w:r>
    </w:p>
    <w:p w14:paraId="4A95A4D2" w14:textId="479D7836" w:rsidR="006F431E" w:rsidRPr="00C574FE" w:rsidRDefault="006F431E" w:rsidP="006F431E">
      <w:pPr>
        <w:pStyle w:val="ANPhDThesisBody"/>
        <w:rPr>
          <w:szCs w:val="24"/>
        </w:rPr>
      </w:pPr>
      <w:r w:rsidRPr="00C574FE">
        <w:rPr>
          <w:szCs w:val="24"/>
        </w:rPr>
        <w:lastRenderedPageBreak/>
        <w:t xml:space="preserve">Compared to </w:t>
      </w:r>
      <w:r w:rsidR="00B77F9A" w:rsidRPr="00C574FE">
        <w:rPr>
          <w:szCs w:val="24"/>
        </w:rPr>
        <w:t xml:space="preserve">the </w:t>
      </w:r>
      <w:r w:rsidRPr="00C574FE">
        <w:rPr>
          <w:szCs w:val="24"/>
        </w:rPr>
        <w:t>stimulus event used in Experiments 1</w:t>
      </w:r>
      <w:r w:rsidR="00810500" w:rsidRPr="00C574FE">
        <w:rPr>
          <w:szCs w:val="24"/>
        </w:rPr>
        <w:t xml:space="preserve"> and 2</w:t>
      </w:r>
      <w:r w:rsidRPr="00C574FE">
        <w:rPr>
          <w:szCs w:val="24"/>
        </w:rPr>
        <w:t>, the new stimulus event had fewer characters and more sequences of actions and conversations, which reduced the number of details amenable to grain size classification.  There were fewer questions dealing with color details about characters (27% vs. 51%) but more seeking numeric details about qualitative actions (51% vs. 32%).  We were particularly interested in whether the grain size procedure’s coarse-grain output quantity advantages evident in Experiments 1</w:t>
      </w:r>
      <w:r w:rsidR="00810500" w:rsidRPr="00C574FE">
        <w:rPr>
          <w:szCs w:val="24"/>
        </w:rPr>
        <w:t xml:space="preserve"> and 2 </w:t>
      </w:r>
      <w:r w:rsidRPr="00C574FE">
        <w:rPr>
          <w:szCs w:val="24"/>
        </w:rPr>
        <w:t xml:space="preserve">would generalize to another stimulus event </w:t>
      </w:r>
      <w:r w:rsidR="00B77F9A" w:rsidRPr="00C574FE">
        <w:rPr>
          <w:szCs w:val="24"/>
        </w:rPr>
        <w:t>that</w:t>
      </w:r>
      <w:r w:rsidRPr="00C574FE">
        <w:rPr>
          <w:szCs w:val="24"/>
        </w:rPr>
        <w:t xml:space="preserve"> allowed fewer grain size questions and the possibility of more grain size questions being excluded from comparisons due to the relevant detail not being reported under the open-ended techniques.</w:t>
      </w:r>
    </w:p>
    <w:p w14:paraId="6D007668" w14:textId="77777777" w:rsidR="00E53DF0" w:rsidRPr="00C574FE" w:rsidRDefault="00E0651C" w:rsidP="00D6732B">
      <w:pPr>
        <w:jc w:val="center"/>
        <w:rPr>
          <w:b/>
        </w:rPr>
      </w:pPr>
      <w:r w:rsidRPr="00C574FE">
        <w:rPr>
          <w:b/>
        </w:rPr>
        <w:t>Method</w:t>
      </w:r>
    </w:p>
    <w:p w14:paraId="45CB672C" w14:textId="77777777" w:rsidR="00E0651C" w:rsidRPr="00C574FE" w:rsidRDefault="00A818F0" w:rsidP="00E0651C">
      <w:pPr>
        <w:pStyle w:val="ANPhDThesisBody"/>
        <w:tabs>
          <w:tab w:val="clear" w:pos="357"/>
          <w:tab w:val="left" w:pos="0"/>
        </w:tabs>
        <w:ind w:firstLine="0"/>
      </w:pPr>
      <w:r w:rsidRPr="00C574FE">
        <w:rPr>
          <w:b/>
        </w:rPr>
        <w:t>Participants</w:t>
      </w:r>
      <w:r w:rsidR="00253233" w:rsidRPr="00C574FE">
        <w:rPr>
          <w:b/>
        </w:rPr>
        <w:t xml:space="preserve"> and </w:t>
      </w:r>
      <w:r w:rsidR="00E0651C" w:rsidRPr="00C574FE">
        <w:rPr>
          <w:b/>
        </w:rPr>
        <w:t>D</w:t>
      </w:r>
      <w:r w:rsidR="00253233" w:rsidRPr="00C574FE">
        <w:rPr>
          <w:b/>
        </w:rPr>
        <w:t>esign</w:t>
      </w:r>
    </w:p>
    <w:p w14:paraId="5DD426EA" w14:textId="45266D5E" w:rsidR="00724447" w:rsidRPr="00C574FE" w:rsidRDefault="00E0651C" w:rsidP="00C60403">
      <w:pPr>
        <w:pStyle w:val="BodyText"/>
        <w:ind w:firstLine="426"/>
      </w:pPr>
      <w:r w:rsidRPr="00C574FE">
        <w:rPr>
          <w:b/>
        </w:rPr>
        <w:t>Experiment 1</w:t>
      </w:r>
      <w:r w:rsidRPr="00C574FE">
        <w:t xml:space="preserve">.  Participants were 98 adults (50 male) recruited from </w:t>
      </w:r>
      <w:r w:rsidR="00D63AD8" w:rsidRPr="00C574FE">
        <w:t xml:space="preserve">an undergraduate </w:t>
      </w:r>
      <w:r w:rsidR="00C2406A" w:rsidRPr="00C574FE">
        <w:t>population and</w:t>
      </w:r>
      <w:r w:rsidRPr="00C574FE">
        <w:t xml:space="preserve"> </w:t>
      </w:r>
      <w:r w:rsidR="00B64966" w:rsidRPr="00C574FE">
        <w:t>from the general community via convenience sampling</w:t>
      </w:r>
      <w:r w:rsidR="00C0122C">
        <w:t xml:space="preserve">. </w:t>
      </w:r>
      <w:r w:rsidR="00D147E0" w:rsidRPr="00C574FE">
        <w:t xml:space="preserve"> </w:t>
      </w:r>
      <w:r w:rsidRPr="00C574FE">
        <w:t xml:space="preserve">Their ages ranged from 17 to </w:t>
      </w:r>
      <w:r w:rsidR="001247FA" w:rsidRPr="00C574FE">
        <w:t>52</w:t>
      </w:r>
      <w:r w:rsidRPr="00C574FE">
        <w:t xml:space="preserve"> years (</w:t>
      </w:r>
      <w:r w:rsidRPr="00C574FE">
        <w:rPr>
          <w:i/>
        </w:rPr>
        <w:t>M</w:t>
      </w:r>
      <w:r w:rsidRPr="00C574FE">
        <w:t xml:space="preserve"> = 26.8, </w:t>
      </w:r>
      <w:r w:rsidRPr="00C574FE">
        <w:rPr>
          <w:i/>
        </w:rPr>
        <w:t>SD</w:t>
      </w:r>
      <w:r w:rsidRPr="00C574FE">
        <w:t xml:space="preserve"> = 8.0).  Participants were randomly allocated to one of four written interview conditions: (1) grain size procedure (</w:t>
      </w:r>
      <w:r w:rsidRPr="00C574FE">
        <w:rPr>
          <w:i/>
        </w:rPr>
        <w:t>N</w:t>
      </w:r>
      <w:r w:rsidRPr="00C574FE">
        <w:t xml:space="preserve"> = 24), (2) </w:t>
      </w:r>
      <w:r w:rsidR="00DB53F0" w:rsidRPr="00C574FE">
        <w:t>the adapted SAI</w:t>
      </w:r>
      <w:r w:rsidR="00DB53F0" w:rsidRPr="00C574FE">
        <w:rPr>
          <w:vertAlign w:val="superscript"/>
        </w:rPr>
        <w:t>©</w:t>
      </w:r>
      <w:r w:rsidR="00DB53F0" w:rsidRPr="00C574FE">
        <w:t>, with confidence (</w:t>
      </w:r>
      <w:r w:rsidR="00DB53F0" w:rsidRPr="00C574FE">
        <w:rPr>
          <w:i/>
        </w:rPr>
        <w:t>N</w:t>
      </w:r>
      <w:r w:rsidR="00DB53F0" w:rsidRPr="00C574FE">
        <w:t xml:space="preserve"> = 25), (3) </w:t>
      </w:r>
      <w:r w:rsidRPr="00C574FE">
        <w:t>free recall (</w:t>
      </w:r>
      <w:r w:rsidRPr="00C574FE">
        <w:rPr>
          <w:i/>
        </w:rPr>
        <w:t>N</w:t>
      </w:r>
      <w:r w:rsidRPr="00C574FE">
        <w:t xml:space="preserve"> = 25), </w:t>
      </w:r>
      <w:r w:rsidR="00DB53F0" w:rsidRPr="00C574FE">
        <w:t xml:space="preserve">and </w:t>
      </w:r>
      <w:r w:rsidRPr="00C574FE">
        <w:t>(</w:t>
      </w:r>
      <w:r w:rsidR="00DB53F0" w:rsidRPr="00C574FE">
        <w:t>4</w:t>
      </w:r>
      <w:r w:rsidRPr="00C574FE">
        <w:t>) free recall</w:t>
      </w:r>
      <w:r w:rsidR="00C464AF" w:rsidRPr="00C574FE">
        <w:t xml:space="preserve"> </w:t>
      </w:r>
      <w:r w:rsidR="000E297B" w:rsidRPr="00C574FE">
        <w:t>plus</w:t>
      </w:r>
      <w:r w:rsidR="00C464AF" w:rsidRPr="00C574FE">
        <w:t xml:space="preserve"> </w:t>
      </w:r>
      <w:r w:rsidRPr="00C574FE">
        <w:t>confidence (</w:t>
      </w:r>
      <w:r w:rsidRPr="00C574FE">
        <w:rPr>
          <w:i/>
        </w:rPr>
        <w:t>N</w:t>
      </w:r>
      <w:r w:rsidRPr="00C574FE">
        <w:t xml:space="preserve"> = 24).  The design was a 4 (interview procedure: grain size, </w:t>
      </w:r>
      <w:r w:rsidR="00E224D1" w:rsidRPr="00C574FE">
        <w:t xml:space="preserve">adapted </w:t>
      </w:r>
      <w:r w:rsidRPr="00C574FE">
        <w:t>SAI</w:t>
      </w:r>
      <w:r w:rsidR="000E297B" w:rsidRPr="00C574FE">
        <w:rPr>
          <w:vertAlign w:val="superscript"/>
        </w:rPr>
        <w:t>©</w:t>
      </w:r>
      <w:r w:rsidRPr="00C574FE">
        <w:t xml:space="preserve">, </w:t>
      </w:r>
      <w:r w:rsidR="00DB53F0" w:rsidRPr="00C574FE">
        <w:t xml:space="preserve">free recall, </w:t>
      </w:r>
      <w:r w:rsidRPr="00C574FE">
        <w:t>free recall</w:t>
      </w:r>
      <w:r w:rsidR="000E297B" w:rsidRPr="00C574FE">
        <w:t xml:space="preserve"> plus </w:t>
      </w:r>
      <w:r w:rsidRPr="00C574FE">
        <w:t>confidence) × 2 (interview session: immediate, follow-up) mixed design, with interview session as a within-subjects factor.</w:t>
      </w:r>
      <w:r w:rsidR="00724447" w:rsidRPr="00C574FE">
        <w:t xml:space="preserve">  (Exactly the same interview was conducted with all Experiment 1 participants after a delay of 3-5 months.  As this second interview could not affect responses at the initial interview (the focus of the study), these data are not reported or discussed.)</w:t>
      </w:r>
    </w:p>
    <w:p w14:paraId="5A7DCCD9" w14:textId="5A863F1F" w:rsidR="00E0651C" w:rsidRPr="00C574FE" w:rsidRDefault="00E0651C" w:rsidP="00E0651C">
      <w:pPr>
        <w:pStyle w:val="ANPhDThesisBody"/>
        <w:tabs>
          <w:tab w:val="clear" w:pos="357"/>
          <w:tab w:val="left" w:pos="0"/>
        </w:tabs>
        <w:ind w:firstLine="426"/>
      </w:pPr>
      <w:r w:rsidRPr="00C574FE">
        <w:rPr>
          <w:b/>
        </w:rPr>
        <w:t xml:space="preserve">Experiment </w:t>
      </w:r>
      <w:r w:rsidR="00810500" w:rsidRPr="00C574FE">
        <w:rPr>
          <w:b/>
        </w:rPr>
        <w:t>2</w:t>
      </w:r>
      <w:r w:rsidRPr="00C574FE">
        <w:t xml:space="preserve">.  </w:t>
      </w:r>
      <w:r w:rsidR="00DD409C" w:rsidRPr="00C574FE">
        <w:t>Participants were 60 adults (27 male) recruited from an undergraduate population and paid an honorarium.  Their ages ranged from 17 to 62 years (</w:t>
      </w:r>
      <w:r w:rsidR="00DD409C" w:rsidRPr="00C574FE">
        <w:rPr>
          <w:i/>
        </w:rPr>
        <w:t>M</w:t>
      </w:r>
      <w:r w:rsidR="00DD409C" w:rsidRPr="00C574FE">
        <w:t xml:space="preserve"> = 25.1, </w:t>
      </w:r>
      <w:r w:rsidR="00DD409C" w:rsidRPr="00C574FE">
        <w:rPr>
          <w:i/>
        </w:rPr>
        <w:t>SD</w:t>
      </w:r>
      <w:r w:rsidR="00DD409C" w:rsidRPr="00C574FE">
        <w:t xml:space="preserve"> = 9.6).  They were randomly assigned one of three </w:t>
      </w:r>
      <w:r w:rsidR="00E54BBF" w:rsidRPr="00C574FE">
        <w:t xml:space="preserve">verbal </w:t>
      </w:r>
      <w:r w:rsidR="00DD409C" w:rsidRPr="00C574FE">
        <w:t>interview conditions: (1) grain size procedure (</w:t>
      </w:r>
      <w:r w:rsidR="00DD409C" w:rsidRPr="00C574FE">
        <w:rPr>
          <w:i/>
        </w:rPr>
        <w:t>N</w:t>
      </w:r>
      <w:r w:rsidR="00DD409C" w:rsidRPr="00C574FE">
        <w:t xml:space="preserve"> = 20), (2) </w:t>
      </w:r>
      <w:r w:rsidR="00DB53F0" w:rsidRPr="00C574FE">
        <w:t>the adapted SAI</w:t>
      </w:r>
      <w:r w:rsidR="00DB53F0" w:rsidRPr="00C574FE">
        <w:rPr>
          <w:vertAlign w:val="superscript"/>
        </w:rPr>
        <w:t>©</w:t>
      </w:r>
      <w:r w:rsidR="00DB53F0" w:rsidRPr="00C574FE">
        <w:t xml:space="preserve"> with confidence (</w:t>
      </w:r>
      <w:r w:rsidR="00DB53F0" w:rsidRPr="00C574FE">
        <w:rPr>
          <w:i/>
        </w:rPr>
        <w:t>N</w:t>
      </w:r>
      <w:r w:rsidR="00DB53F0" w:rsidRPr="00C574FE">
        <w:t xml:space="preserve"> = 20), and (3) </w:t>
      </w:r>
      <w:r w:rsidR="00DD409C" w:rsidRPr="00C574FE">
        <w:t>free recall</w:t>
      </w:r>
      <w:r w:rsidR="00526CB7" w:rsidRPr="00C574FE">
        <w:t>-</w:t>
      </w:r>
      <w:r w:rsidR="00DD409C" w:rsidRPr="00C574FE">
        <w:lastRenderedPageBreak/>
        <w:t>confidence (</w:t>
      </w:r>
      <w:r w:rsidR="00DD409C" w:rsidRPr="00C574FE">
        <w:rPr>
          <w:i/>
        </w:rPr>
        <w:t>N</w:t>
      </w:r>
      <w:r w:rsidR="006728AD" w:rsidRPr="00C574FE">
        <w:t xml:space="preserve"> = 20).</w:t>
      </w:r>
    </w:p>
    <w:p w14:paraId="4CAB5F2B" w14:textId="4397D133" w:rsidR="00810500" w:rsidRPr="00C574FE" w:rsidRDefault="00810500" w:rsidP="00810500">
      <w:pPr>
        <w:pStyle w:val="ANPhDThesisBody"/>
        <w:tabs>
          <w:tab w:val="clear" w:pos="357"/>
          <w:tab w:val="left" w:pos="0"/>
        </w:tabs>
        <w:ind w:firstLine="426"/>
      </w:pPr>
      <w:r w:rsidRPr="00C574FE">
        <w:rPr>
          <w:b/>
        </w:rPr>
        <w:t>Experiment 3</w:t>
      </w:r>
      <w:r w:rsidRPr="00C574FE">
        <w:t>.  Participants were 61 adults (31 male) recruited from an undergraduate population and the general community.  Their ages ranged from 18 to 56 years (</w:t>
      </w:r>
      <w:r w:rsidRPr="00C574FE">
        <w:rPr>
          <w:i/>
        </w:rPr>
        <w:t>M</w:t>
      </w:r>
      <w:r w:rsidRPr="00C574FE">
        <w:t xml:space="preserve"> = 26.1, </w:t>
      </w:r>
      <w:r w:rsidRPr="00C574FE">
        <w:rPr>
          <w:i/>
        </w:rPr>
        <w:t>SD</w:t>
      </w:r>
      <w:r w:rsidRPr="00C574FE">
        <w:t xml:space="preserve"> = 7.5) and they were randomly allocated to one of the four written interview conditions used in Experiments 1.</w:t>
      </w:r>
    </w:p>
    <w:p w14:paraId="324174F5" w14:textId="0FBA8143" w:rsidR="00535A9D" w:rsidRPr="00C574FE" w:rsidRDefault="000A5D82" w:rsidP="00810500">
      <w:pPr>
        <w:pStyle w:val="ANPhDThesisBody"/>
        <w:tabs>
          <w:tab w:val="clear" w:pos="357"/>
          <w:tab w:val="left" w:pos="0"/>
        </w:tabs>
        <w:ind w:firstLine="426"/>
      </w:pPr>
      <w:r w:rsidRPr="00C574FE">
        <w:t xml:space="preserve">Participants were predominantly Caucasian and spoke English as their first language. They were recruited from registrants on the online SONA system and via </w:t>
      </w:r>
      <w:r w:rsidR="00C0122C">
        <w:t>F</w:t>
      </w:r>
      <w:r w:rsidRPr="00C574FE">
        <w:t xml:space="preserve">acebook advertisement.  </w:t>
      </w:r>
      <w:r w:rsidR="00535A9D" w:rsidRPr="00C574FE">
        <w:t xml:space="preserve">The studies were approved by the Social and Behavioral Science Ethics Committee of </w:t>
      </w:r>
      <w:r w:rsidR="00D147E0" w:rsidRPr="00C574FE">
        <w:t xml:space="preserve">Flinders </w:t>
      </w:r>
      <w:r w:rsidR="00535A9D" w:rsidRPr="00C574FE">
        <w:t>University.</w:t>
      </w:r>
    </w:p>
    <w:p w14:paraId="25FDC172" w14:textId="77777777" w:rsidR="00866A80" w:rsidRPr="00C574FE" w:rsidRDefault="00A818F0" w:rsidP="00866A80">
      <w:pPr>
        <w:pStyle w:val="ANPhDThesisBody"/>
        <w:ind w:firstLine="0"/>
        <w:rPr>
          <w:rStyle w:val="Heading3Char"/>
          <w:rFonts w:ascii="Times New Roman" w:hAnsi="Times New Roman" w:cs="Times New Roman"/>
          <w:color w:val="auto"/>
        </w:rPr>
      </w:pPr>
      <w:bookmarkStart w:id="1" w:name="_Toc392725021"/>
      <w:r w:rsidRPr="00C574FE">
        <w:rPr>
          <w:rStyle w:val="Heading3Char"/>
          <w:rFonts w:ascii="Times New Roman" w:hAnsi="Times New Roman" w:cs="Times New Roman"/>
          <w:color w:val="auto"/>
        </w:rPr>
        <w:t>Materials</w:t>
      </w:r>
      <w:bookmarkEnd w:id="1"/>
    </w:p>
    <w:p w14:paraId="0858D283" w14:textId="77360B26" w:rsidR="0030593F" w:rsidRPr="00C574FE" w:rsidRDefault="00EA1877" w:rsidP="00A818F0">
      <w:pPr>
        <w:pStyle w:val="ANPhDThesisBody"/>
        <w:rPr>
          <w:szCs w:val="24"/>
        </w:rPr>
      </w:pPr>
      <w:r w:rsidRPr="00C574FE">
        <w:rPr>
          <w:szCs w:val="24"/>
        </w:rPr>
        <w:t xml:space="preserve">The stimulus event </w:t>
      </w:r>
      <w:r w:rsidR="00810500" w:rsidRPr="00C574FE">
        <w:rPr>
          <w:szCs w:val="24"/>
        </w:rPr>
        <w:t xml:space="preserve">for Experiments 1 and 2 </w:t>
      </w:r>
      <w:r w:rsidR="00A818F0" w:rsidRPr="00C574FE">
        <w:rPr>
          <w:szCs w:val="24"/>
        </w:rPr>
        <w:t>was a 36</w:t>
      </w:r>
      <w:r w:rsidR="00421ED7" w:rsidRPr="00C574FE">
        <w:rPr>
          <w:szCs w:val="24"/>
        </w:rPr>
        <w:t>-</w:t>
      </w:r>
      <w:r w:rsidR="00A818F0" w:rsidRPr="00C574FE">
        <w:rPr>
          <w:szCs w:val="24"/>
        </w:rPr>
        <w:t>second video of a bank robbery.  It showed two robbers in a bank</w:t>
      </w:r>
      <w:r w:rsidRPr="00C574FE">
        <w:rPr>
          <w:szCs w:val="24"/>
        </w:rPr>
        <w:t xml:space="preserve">, one </w:t>
      </w:r>
      <w:r w:rsidR="00A818F0" w:rsidRPr="00C574FE">
        <w:rPr>
          <w:szCs w:val="24"/>
        </w:rPr>
        <w:t xml:space="preserve">at the counter in front of a female bank teller </w:t>
      </w:r>
      <w:r w:rsidRPr="00C574FE">
        <w:rPr>
          <w:szCs w:val="24"/>
        </w:rPr>
        <w:t xml:space="preserve">and </w:t>
      </w:r>
      <w:r w:rsidR="00A818F0" w:rsidRPr="00C574FE">
        <w:rPr>
          <w:szCs w:val="24"/>
        </w:rPr>
        <w:t xml:space="preserve">the other near the door standing guard.  </w:t>
      </w:r>
      <w:r w:rsidR="000A5D82" w:rsidRPr="00C574FE">
        <w:rPr>
          <w:szCs w:val="24"/>
        </w:rPr>
        <w:t xml:space="preserve">Both were males and of Caucasian appearance.  </w:t>
      </w:r>
      <w:r w:rsidR="00A818F0" w:rsidRPr="00C574FE">
        <w:rPr>
          <w:szCs w:val="24"/>
        </w:rPr>
        <w:t xml:space="preserve">The teller put money in a bag as the main robber said </w:t>
      </w:r>
      <w:r w:rsidR="00A818F0" w:rsidRPr="00C574FE">
        <w:rPr>
          <w:i/>
          <w:szCs w:val="24"/>
        </w:rPr>
        <w:t>hurry up</w:t>
      </w:r>
      <w:r w:rsidR="00A818F0" w:rsidRPr="00C574FE">
        <w:rPr>
          <w:szCs w:val="24"/>
        </w:rPr>
        <w:t xml:space="preserve">.  A customer </w:t>
      </w:r>
      <w:r w:rsidRPr="00C574FE">
        <w:rPr>
          <w:szCs w:val="24"/>
        </w:rPr>
        <w:t>stood</w:t>
      </w:r>
      <w:r w:rsidR="00A818F0" w:rsidRPr="00C574FE">
        <w:rPr>
          <w:szCs w:val="24"/>
        </w:rPr>
        <w:t xml:space="preserve"> near the counter covering her eyes</w:t>
      </w:r>
      <w:r w:rsidRPr="00C574FE">
        <w:rPr>
          <w:szCs w:val="24"/>
        </w:rPr>
        <w:t xml:space="preserve">, </w:t>
      </w:r>
      <w:r w:rsidR="00A818F0" w:rsidRPr="00C574FE">
        <w:rPr>
          <w:szCs w:val="24"/>
        </w:rPr>
        <w:t xml:space="preserve">another female teller was watching from the counter </w:t>
      </w:r>
      <w:r w:rsidRPr="00C574FE">
        <w:rPr>
          <w:szCs w:val="24"/>
        </w:rPr>
        <w:t>and</w:t>
      </w:r>
      <w:r w:rsidR="00A818F0" w:rsidRPr="00C574FE">
        <w:rPr>
          <w:szCs w:val="24"/>
        </w:rPr>
        <w:t xml:space="preserve"> a male teller watched from the back of the bank.  The teller said </w:t>
      </w:r>
      <w:r w:rsidR="00A818F0" w:rsidRPr="00C574FE">
        <w:rPr>
          <w:i/>
          <w:szCs w:val="24"/>
        </w:rPr>
        <w:t>that’s all</w:t>
      </w:r>
      <w:r w:rsidR="00A818F0" w:rsidRPr="00C574FE">
        <w:rPr>
          <w:szCs w:val="24"/>
        </w:rPr>
        <w:t xml:space="preserve"> and pushed the bag towards the main robber.  Both robbers ran from the bank onto a road.  An accomplice picked them up in a getaway car and drove off.  </w:t>
      </w:r>
    </w:p>
    <w:p w14:paraId="4F5565D4" w14:textId="07401DE5" w:rsidR="00724447" w:rsidRPr="00C574FE" w:rsidRDefault="0030593F" w:rsidP="00724447">
      <w:pPr>
        <w:pStyle w:val="BodyText"/>
        <w:ind w:firstLine="426"/>
      </w:pPr>
      <w:r w:rsidRPr="00C574FE">
        <w:t xml:space="preserve">The stimulus event for Experiment 3 was a two minute video of a non-violent credit card theft at a restaurant.  A male </w:t>
      </w:r>
      <w:r w:rsidR="00A66497" w:rsidRPr="00C574FE">
        <w:t>thief</w:t>
      </w:r>
      <w:r w:rsidRPr="00C574FE">
        <w:t xml:space="preserve"> </w:t>
      </w:r>
      <w:r w:rsidR="000A5D82" w:rsidRPr="00C574FE">
        <w:t xml:space="preserve">of Malaysian appearance </w:t>
      </w:r>
      <w:r w:rsidRPr="00C574FE">
        <w:t xml:space="preserve">walked from the street into a restaurant and approached a waiter </w:t>
      </w:r>
      <w:r w:rsidR="000A5D82" w:rsidRPr="00C574FE">
        <w:t xml:space="preserve">(Caucasian) </w:t>
      </w:r>
      <w:r w:rsidRPr="00C574FE">
        <w:t xml:space="preserve">standing behind the cash register in the bar.  At the same time a customer from the restaurant approached the waiter, asked for the bill and left his credit card on a plate on the bar top.  The waiter took the plate and placed it on the desk in front of him.  The </w:t>
      </w:r>
      <w:r w:rsidR="00A66497" w:rsidRPr="00C574FE">
        <w:t>thief</w:t>
      </w:r>
      <w:r w:rsidRPr="00C574FE">
        <w:t xml:space="preserve"> distracted the waiter with a fake dinner reservation request and made a first attempt to take the credit card when the waiter’s back was turned.  After requesting another date, the </w:t>
      </w:r>
      <w:r w:rsidR="00A66497" w:rsidRPr="00C574FE">
        <w:t>thief</w:t>
      </w:r>
      <w:r w:rsidRPr="00C574FE">
        <w:t xml:space="preserve"> stole the credit card and waited as the waiter answered a phone call.  The </w:t>
      </w:r>
      <w:r w:rsidR="00A66497" w:rsidRPr="00C574FE">
        <w:lastRenderedPageBreak/>
        <w:t>thief</w:t>
      </w:r>
      <w:r w:rsidRPr="00C574FE">
        <w:t xml:space="preserve"> then left the restaurant and broke into a run once outside.  The waiter eventually realized that the credit card had been stolen, went outside to look for the </w:t>
      </w:r>
      <w:r w:rsidR="00A66497" w:rsidRPr="00C574FE">
        <w:t>thief</w:t>
      </w:r>
      <w:r w:rsidRPr="00C574FE">
        <w:t>, and returned to the restaurant after there was no sign of him.</w:t>
      </w:r>
      <w:r w:rsidR="00724447" w:rsidRPr="00C574FE">
        <w:t xml:space="preserve">  The stimulus films used in Experiments 1-3 are of much shorter duration and qualitatively different to that used in Gabbert et al. (2009). Thus, although the SAI</w:t>
      </w:r>
      <w:r w:rsidR="00C0122C" w:rsidRPr="00C574FE">
        <w:rPr>
          <w:vertAlign w:val="superscript"/>
        </w:rPr>
        <w:t>©</w:t>
      </w:r>
      <w:r w:rsidR="00724447" w:rsidRPr="00C574FE">
        <w:t xml:space="preserve"> and the other free recall condition manipulations are virtually identical to Gabbert et al.’s, reporting of fewer items is to be expected in the current experiments.</w:t>
      </w:r>
    </w:p>
    <w:p w14:paraId="3056016E" w14:textId="77777777" w:rsidR="00866A80" w:rsidRPr="00C574FE" w:rsidRDefault="00A818F0" w:rsidP="00866A80">
      <w:pPr>
        <w:pStyle w:val="Heading4"/>
        <w:keepNext w:val="0"/>
        <w:keepLines w:val="0"/>
        <w:widowControl w:val="0"/>
        <w:spacing w:before="0"/>
        <w:rPr>
          <w:rFonts w:ascii="Times New Roman" w:hAnsi="Times New Roman" w:cs="Times New Roman"/>
          <w:i w:val="0"/>
          <w:color w:val="auto"/>
        </w:rPr>
      </w:pPr>
      <w:bookmarkStart w:id="2" w:name="_Toc392725024"/>
      <w:r w:rsidRPr="00C574FE">
        <w:rPr>
          <w:rFonts w:ascii="Times New Roman" w:hAnsi="Times New Roman" w:cs="Times New Roman"/>
          <w:i w:val="0"/>
          <w:color w:val="auto"/>
        </w:rPr>
        <w:t xml:space="preserve">Interview </w:t>
      </w:r>
      <w:r w:rsidR="00866A80" w:rsidRPr="00C574FE">
        <w:rPr>
          <w:rFonts w:ascii="Times New Roman" w:hAnsi="Times New Roman" w:cs="Times New Roman"/>
          <w:i w:val="0"/>
          <w:color w:val="auto"/>
        </w:rPr>
        <w:t>Protocols</w:t>
      </w:r>
      <w:bookmarkEnd w:id="2"/>
    </w:p>
    <w:p w14:paraId="35AF1B12" w14:textId="42502A20" w:rsidR="00660A8B" w:rsidRPr="00C574FE" w:rsidRDefault="00660A8B" w:rsidP="00C47E50">
      <w:pPr>
        <w:pStyle w:val="Heading4"/>
        <w:keepNext w:val="0"/>
        <w:keepLines w:val="0"/>
        <w:widowControl w:val="0"/>
        <w:spacing w:before="0"/>
        <w:ind w:firstLine="426"/>
        <w:rPr>
          <w:rFonts w:ascii="Times New Roman" w:hAnsi="Times New Roman" w:cs="Times New Roman"/>
          <w:b w:val="0"/>
          <w:i w:val="0"/>
          <w:color w:val="auto"/>
        </w:rPr>
      </w:pPr>
      <w:r w:rsidRPr="00C574FE">
        <w:rPr>
          <w:rFonts w:ascii="Times New Roman" w:hAnsi="Times New Roman" w:cs="Times New Roman"/>
          <w:b w:val="0"/>
          <w:i w:val="0"/>
          <w:color w:val="auto"/>
        </w:rPr>
        <w:t>All interviews for each experiment were conducted by the second author, a PhD (clinical) psychology trainee</w:t>
      </w:r>
      <w:r w:rsidR="00E54BBF" w:rsidRPr="00C574FE">
        <w:rPr>
          <w:rFonts w:ascii="Times New Roman" w:hAnsi="Times New Roman" w:cs="Times New Roman"/>
          <w:b w:val="0"/>
          <w:i w:val="0"/>
          <w:color w:val="auto"/>
        </w:rPr>
        <w:t xml:space="preserve">, who </w:t>
      </w:r>
      <w:r w:rsidR="000A5D82" w:rsidRPr="00C574FE">
        <w:rPr>
          <w:rFonts w:ascii="Times New Roman" w:hAnsi="Times New Roman" w:cs="Times New Roman"/>
          <w:b w:val="0"/>
          <w:i w:val="0"/>
          <w:color w:val="auto"/>
        </w:rPr>
        <w:t xml:space="preserve">was not blind to condition.  </w:t>
      </w:r>
      <w:r w:rsidRPr="00C574FE">
        <w:rPr>
          <w:rFonts w:ascii="Times New Roman" w:hAnsi="Times New Roman" w:cs="Times New Roman"/>
          <w:b w:val="0"/>
          <w:i w:val="0"/>
          <w:color w:val="auto"/>
        </w:rPr>
        <w:t xml:space="preserve">Written and verbal interviews </w:t>
      </w:r>
      <w:r w:rsidR="00526CB7" w:rsidRPr="00C574FE">
        <w:rPr>
          <w:rFonts w:ascii="Times New Roman" w:hAnsi="Times New Roman" w:cs="Times New Roman"/>
          <w:b w:val="0"/>
          <w:i w:val="0"/>
          <w:color w:val="auto"/>
        </w:rPr>
        <w:t xml:space="preserve">for all conditions </w:t>
      </w:r>
      <w:r w:rsidRPr="00C574FE">
        <w:rPr>
          <w:rFonts w:ascii="Times New Roman" w:hAnsi="Times New Roman" w:cs="Times New Roman"/>
          <w:b w:val="0"/>
          <w:i w:val="0"/>
          <w:color w:val="auto"/>
        </w:rPr>
        <w:t>were completely scripted, with the scripts including precise instructions on how to answer queries, permissible forms of feedback (e.g., no information on accuracy or informativeness of responses)</w:t>
      </w:r>
      <w:r w:rsidR="004A0230" w:rsidRPr="00C574FE">
        <w:rPr>
          <w:rFonts w:ascii="Times New Roman" w:hAnsi="Times New Roman" w:cs="Times New Roman"/>
          <w:b w:val="0"/>
          <w:i w:val="0"/>
          <w:color w:val="auto"/>
        </w:rPr>
        <w:t xml:space="preserve"> and clarification questions (e.g., what to do in order to obtain a confidence estimate for each item if multiple items were reported in one sentence).  Verbal interviews were recorded for subsequent coding and reliability assessments.</w:t>
      </w:r>
    </w:p>
    <w:p w14:paraId="1A71756C" w14:textId="4098D9A4" w:rsidR="00DB4087" w:rsidRPr="00C574FE" w:rsidRDefault="00866A80" w:rsidP="00462A0E">
      <w:pPr>
        <w:pStyle w:val="ANPhDThesisBody"/>
      </w:pPr>
      <w:r w:rsidRPr="00C574FE">
        <w:rPr>
          <w:b/>
        </w:rPr>
        <w:t>Experiment 1</w:t>
      </w:r>
      <w:r w:rsidRPr="00C574FE">
        <w:t xml:space="preserve">.  </w:t>
      </w:r>
      <w:r w:rsidR="00C47E50" w:rsidRPr="00C574FE">
        <w:t xml:space="preserve">The </w:t>
      </w:r>
      <w:r w:rsidRPr="00C574FE">
        <w:t xml:space="preserve">written </w:t>
      </w:r>
      <w:r w:rsidR="00C47E50" w:rsidRPr="00C574FE">
        <w:t xml:space="preserve">grain size procedure </w:t>
      </w:r>
      <w:r w:rsidR="00A25FCA" w:rsidRPr="00C574FE">
        <w:t>(see Supplementary Materials pp.</w:t>
      </w:r>
      <w:r w:rsidR="004D3DBA" w:rsidRPr="00C574FE">
        <w:t>1-5</w:t>
      </w:r>
      <w:r w:rsidR="00A25FCA" w:rsidRPr="00C574FE">
        <w:t xml:space="preserve">) </w:t>
      </w:r>
      <w:r w:rsidR="00C47E50" w:rsidRPr="00C574FE">
        <w:t xml:space="preserve">included 64 </w:t>
      </w:r>
      <w:r w:rsidR="00A818F0" w:rsidRPr="00C574FE">
        <w:t>c</w:t>
      </w:r>
      <w:r w:rsidR="009B3132" w:rsidRPr="00C574FE">
        <w:t>ued recall</w:t>
      </w:r>
      <w:r w:rsidR="00A818F0" w:rsidRPr="00C574FE">
        <w:t xml:space="preserve"> questions, each </w:t>
      </w:r>
      <w:r w:rsidR="00C47E50" w:rsidRPr="00C574FE">
        <w:t xml:space="preserve">requiring a coarse-grain </w:t>
      </w:r>
      <w:r w:rsidR="001A54EE" w:rsidRPr="00C574FE">
        <w:t>(</w:t>
      </w:r>
      <w:r w:rsidR="00C47E50" w:rsidRPr="00C574FE">
        <w:t>and a fine-grain</w:t>
      </w:r>
      <w:r w:rsidR="001A54EE" w:rsidRPr="00C574FE">
        <w:t>)</w:t>
      </w:r>
      <w:r w:rsidR="00C47E50" w:rsidRPr="00C574FE">
        <w:t xml:space="preserve"> </w:t>
      </w:r>
      <w:r w:rsidR="00A818F0" w:rsidRPr="00C574FE">
        <w:t>response</w:t>
      </w:r>
      <w:r w:rsidR="00C47E50" w:rsidRPr="00C574FE">
        <w:t xml:space="preserve">.  </w:t>
      </w:r>
      <w:r w:rsidR="00A818F0" w:rsidRPr="00C574FE">
        <w:t xml:space="preserve">Questions focused on details about characters, the crime event, objects, and surroundings, </w:t>
      </w:r>
      <w:r w:rsidR="00C47E50" w:rsidRPr="00C574FE">
        <w:t xml:space="preserve">eliciting </w:t>
      </w:r>
      <w:r w:rsidR="00A818F0" w:rsidRPr="00C574FE">
        <w:t>grain size distinctions for colo</w:t>
      </w:r>
      <w:r w:rsidR="00C47E50" w:rsidRPr="00C574FE">
        <w:t>rs,</w:t>
      </w:r>
      <w:r w:rsidR="00A818F0" w:rsidRPr="00C574FE">
        <w:t xml:space="preserve"> numbers, descriptions of length, and descriptions of locations.  </w:t>
      </w:r>
      <w:r w:rsidR="00C47E50" w:rsidRPr="00C574FE">
        <w:t xml:space="preserve">Questions </w:t>
      </w:r>
      <w:r w:rsidR="00A818F0" w:rsidRPr="00C574FE">
        <w:t>were presented to participants in typewritten booklets with the questions and fine- and coarse-grain response lines on the left side of each page and corresponding confidence scales (0%</w:t>
      </w:r>
      <w:r w:rsidR="00C47E50" w:rsidRPr="00C574FE">
        <w:t>-100%) on the right.  The booklet</w:t>
      </w:r>
      <w:r w:rsidR="00A818F0" w:rsidRPr="00C574FE">
        <w:t xml:space="preserve"> contained (1) an explanation </w:t>
      </w:r>
      <w:r w:rsidR="00597696" w:rsidRPr="00C574FE">
        <w:t xml:space="preserve">(with example) </w:t>
      </w:r>
      <w:r w:rsidR="00A818F0" w:rsidRPr="00C574FE">
        <w:t>of the distinction between fine- and coarse-grain responses, (2) two examples of questions, responses, and confidence ratings</w:t>
      </w:r>
      <w:r w:rsidR="00597696" w:rsidRPr="00C574FE">
        <w:t xml:space="preserve">, with each example indicating both a </w:t>
      </w:r>
      <w:r w:rsidR="00462A0E" w:rsidRPr="00C574FE">
        <w:t xml:space="preserve">correct </w:t>
      </w:r>
      <w:r w:rsidR="00597696" w:rsidRPr="00C574FE">
        <w:t>fine- and a coarse-grain response,</w:t>
      </w:r>
      <w:r w:rsidR="00A818F0" w:rsidRPr="00C574FE">
        <w:t xml:space="preserve"> and (3) written instructions including </w:t>
      </w:r>
      <w:r w:rsidR="00B947ED" w:rsidRPr="00C574FE">
        <w:t>‘</w:t>
      </w:r>
      <w:r w:rsidR="00A818F0" w:rsidRPr="00C574FE">
        <w:t>please answer ALL the following questions about the video you just saw</w:t>
      </w:r>
      <w:r w:rsidR="00421ED7" w:rsidRPr="00C574FE">
        <w:t xml:space="preserve"> and </w:t>
      </w:r>
      <w:r w:rsidR="00A818F0" w:rsidRPr="00C574FE">
        <w:t>for each answer please circle how sure you are that the response you just wrote is correct</w:t>
      </w:r>
      <w:r w:rsidR="00421ED7" w:rsidRPr="00C574FE">
        <w:t>.</w:t>
      </w:r>
      <w:r w:rsidR="00B947ED" w:rsidRPr="00C574FE">
        <w:t>’</w:t>
      </w:r>
      <w:r w:rsidR="00462A0E" w:rsidRPr="00C574FE">
        <w:t xml:space="preserve">  In one example participants were asked </w:t>
      </w:r>
      <w:r w:rsidR="00DB4087" w:rsidRPr="00C574FE">
        <w:rPr>
          <w:i/>
        </w:rPr>
        <w:lastRenderedPageBreak/>
        <w:t>What color were the walls in the bank?</w:t>
      </w:r>
      <w:r w:rsidR="00DB4087" w:rsidRPr="00C574FE">
        <w:t xml:space="preserve"> </w:t>
      </w:r>
      <w:r w:rsidR="00462A0E" w:rsidRPr="00C574FE">
        <w:t>and shown two possible responses,</w:t>
      </w:r>
      <w:r w:rsidR="00DB4087" w:rsidRPr="00C574FE">
        <w:t xml:space="preserve"> </w:t>
      </w:r>
      <w:r w:rsidR="00DB4087" w:rsidRPr="00C574FE">
        <w:rPr>
          <w:i/>
        </w:rPr>
        <w:t>Exact color – white</w:t>
      </w:r>
      <w:r w:rsidR="00DB4087" w:rsidRPr="00C574FE">
        <w:t xml:space="preserve"> and </w:t>
      </w:r>
      <w:r w:rsidR="00DB4087" w:rsidRPr="00C574FE">
        <w:rPr>
          <w:i/>
        </w:rPr>
        <w:t>General Color (light, medium, dark) – light</w:t>
      </w:r>
      <w:r w:rsidR="00DB4087" w:rsidRPr="00C574FE">
        <w:t xml:space="preserve">.  </w:t>
      </w:r>
      <w:r w:rsidR="00462A0E" w:rsidRPr="00C574FE">
        <w:t xml:space="preserve">In the second example they were asked </w:t>
      </w:r>
      <w:r w:rsidR="00DB4087" w:rsidRPr="00C574FE">
        <w:rPr>
          <w:i/>
        </w:rPr>
        <w:t>How many people were in the bank during the robbery?</w:t>
      </w:r>
      <w:r w:rsidR="00DB4087" w:rsidRPr="00C574FE">
        <w:t xml:space="preserve"> </w:t>
      </w:r>
      <w:r w:rsidR="00462A0E" w:rsidRPr="00C574FE">
        <w:t xml:space="preserve">And shown the responses </w:t>
      </w:r>
      <w:r w:rsidR="00DB4087" w:rsidRPr="00C574FE">
        <w:rPr>
          <w:i/>
        </w:rPr>
        <w:t>Between (range) – 4 and 8</w:t>
      </w:r>
      <w:r w:rsidR="00DB4087" w:rsidRPr="00C574FE">
        <w:t xml:space="preserve"> </w:t>
      </w:r>
      <w:r w:rsidR="00462A0E" w:rsidRPr="00C574FE">
        <w:t xml:space="preserve">and </w:t>
      </w:r>
      <w:r w:rsidR="00DB4087" w:rsidRPr="00C574FE">
        <w:rPr>
          <w:i/>
        </w:rPr>
        <w:t xml:space="preserve">Exact </w:t>
      </w:r>
      <w:r w:rsidR="00462A0E" w:rsidRPr="00C574FE">
        <w:rPr>
          <w:i/>
        </w:rPr>
        <w:t>–</w:t>
      </w:r>
      <w:r w:rsidR="00DB4087" w:rsidRPr="00C574FE">
        <w:rPr>
          <w:i/>
        </w:rPr>
        <w:t xml:space="preserve"> 6</w:t>
      </w:r>
      <w:r w:rsidR="00DB4087" w:rsidRPr="00C574FE">
        <w:t xml:space="preserve">.  </w:t>
      </w:r>
    </w:p>
    <w:p w14:paraId="7D767984" w14:textId="0FAFFEB3" w:rsidR="00A818F0" w:rsidRPr="00C574FE" w:rsidRDefault="00A818F0" w:rsidP="00FE513A">
      <w:pPr>
        <w:pStyle w:val="ANPhDThesisBody"/>
        <w:rPr>
          <w:szCs w:val="24"/>
        </w:rPr>
      </w:pPr>
      <w:r w:rsidRPr="00C574FE">
        <w:rPr>
          <w:szCs w:val="24"/>
        </w:rPr>
        <w:t xml:space="preserve">In </w:t>
      </w:r>
      <w:r w:rsidR="001A54EE" w:rsidRPr="00C574FE">
        <w:rPr>
          <w:szCs w:val="24"/>
        </w:rPr>
        <w:t>the first phase o</w:t>
      </w:r>
      <w:r w:rsidRPr="00C574FE">
        <w:rPr>
          <w:szCs w:val="24"/>
        </w:rPr>
        <w:t xml:space="preserve">f the </w:t>
      </w:r>
      <w:r w:rsidR="001A54EE" w:rsidRPr="00C574FE">
        <w:rPr>
          <w:szCs w:val="24"/>
        </w:rPr>
        <w:t>grain-size procedure</w:t>
      </w:r>
      <w:r w:rsidRPr="00C574FE">
        <w:rPr>
          <w:szCs w:val="24"/>
        </w:rPr>
        <w:t xml:space="preserve">, participants were instructed to provide </w:t>
      </w:r>
      <w:r w:rsidR="00462A0E" w:rsidRPr="00C574FE">
        <w:rPr>
          <w:szCs w:val="24"/>
        </w:rPr>
        <w:t>(</w:t>
      </w:r>
      <w:r w:rsidR="009F2BA9" w:rsidRPr="00C574FE">
        <w:rPr>
          <w:szCs w:val="24"/>
        </w:rPr>
        <w:t xml:space="preserve">unlike the examples, </w:t>
      </w:r>
      <w:r w:rsidR="00462A0E" w:rsidRPr="00C574FE">
        <w:rPr>
          <w:szCs w:val="24"/>
        </w:rPr>
        <w:t xml:space="preserve">unprompted by a specific cue) </w:t>
      </w:r>
      <w:r w:rsidRPr="00C574FE">
        <w:rPr>
          <w:szCs w:val="24"/>
        </w:rPr>
        <w:t xml:space="preserve">a </w:t>
      </w:r>
      <w:r w:rsidR="001A54EE" w:rsidRPr="00C574FE">
        <w:rPr>
          <w:szCs w:val="24"/>
        </w:rPr>
        <w:t>coarse</w:t>
      </w:r>
      <w:r w:rsidRPr="00C574FE">
        <w:rPr>
          <w:szCs w:val="24"/>
        </w:rPr>
        <w:t xml:space="preserve">- or </w:t>
      </w:r>
      <w:r w:rsidR="001A54EE" w:rsidRPr="00C574FE">
        <w:rPr>
          <w:szCs w:val="24"/>
        </w:rPr>
        <w:t>fine</w:t>
      </w:r>
      <w:r w:rsidRPr="00C574FE">
        <w:rPr>
          <w:szCs w:val="24"/>
        </w:rPr>
        <w:t xml:space="preserve">-grain response </w:t>
      </w:r>
      <w:r w:rsidR="00C47E50" w:rsidRPr="00C574FE">
        <w:rPr>
          <w:szCs w:val="24"/>
        </w:rPr>
        <w:t xml:space="preserve">(order counterbalanced across questions) </w:t>
      </w:r>
      <w:r w:rsidRPr="00C574FE">
        <w:rPr>
          <w:szCs w:val="24"/>
        </w:rPr>
        <w:t>followed by circling their level of confidence</w:t>
      </w:r>
      <w:r w:rsidR="001A54EE" w:rsidRPr="00C574FE">
        <w:rPr>
          <w:szCs w:val="24"/>
        </w:rPr>
        <w:t>,</w:t>
      </w:r>
      <w:r w:rsidRPr="00C574FE">
        <w:rPr>
          <w:szCs w:val="24"/>
        </w:rPr>
        <w:t xml:space="preserve"> and then the other grain size response </w:t>
      </w:r>
      <w:r w:rsidR="001A54EE" w:rsidRPr="00C574FE">
        <w:rPr>
          <w:szCs w:val="24"/>
        </w:rPr>
        <w:t xml:space="preserve">(i.e., fine or coarse) </w:t>
      </w:r>
      <w:r w:rsidRPr="00C574FE">
        <w:rPr>
          <w:szCs w:val="24"/>
        </w:rPr>
        <w:t xml:space="preserve">followed by a second confidence judgement.  In Phase 2, participants were given their responses with the associated confidence levels </w:t>
      </w:r>
      <w:r w:rsidR="00C47E50" w:rsidRPr="00C574FE">
        <w:rPr>
          <w:szCs w:val="24"/>
        </w:rPr>
        <w:t>removed</w:t>
      </w:r>
      <w:r w:rsidRPr="00C574FE">
        <w:rPr>
          <w:szCs w:val="24"/>
        </w:rPr>
        <w:t xml:space="preserve"> and were asked to select, by circling or ticking, one response as their preferred answer for each question.  </w:t>
      </w:r>
    </w:p>
    <w:p w14:paraId="643BC601" w14:textId="76269E28" w:rsidR="008811EB" w:rsidRPr="00C574FE" w:rsidRDefault="008811EB" w:rsidP="006E0A2A">
      <w:pPr>
        <w:ind w:firstLine="357"/>
      </w:pPr>
      <w:r w:rsidRPr="00C574FE">
        <w:t xml:space="preserve">The adapted </w:t>
      </w:r>
      <w:r w:rsidR="00BA1990" w:rsidRPr="00C574FE">
        <w:t xml:space="preserve">version of the </w:t>
      </w:r>
      <w:r w:rsidRPr="00C574FE">
        <w:t>SAI</w:t>
      </w:r>
      <w:r w:rsidRPr="00C574FE">
        <w:rPr>
          <w:vertAlign w:val="superscript"/>
        </w:rPr>
        <w:t>©</w:t>
      </w:r>
      <w:r w:rsidRPr="00C574FE">
        <w:t xml:space="preserve"> used for the present experiments incorporated the context reinstatement and report everything components of the Cognitive Interview and comprised five sections</w:t>
      </w:r>
      <w:r w:rsidR="00C60403" w:rsidRPr="00C574FE">
        <w:rPr>
          <w:vertAlign w:val="superscript"/>
        </w:rPr>
        <w:t>1</w:t>
      </w:r>
      <w:r w:rsidRPr="00C574FE">
        <w:t xml:space="preserve">.  Instructions throughout requested witnesses to provide the most complete and accurate account possible, even when details may seem trivial or incomplete.  </w:t>
      </w:r>
      <w:r w:rsidR="00FE513A" w:rsidRPr="00C574FE">
        <w:t>Prior to writing down details of their memories interviewees were asked to spend around three minutes picturing in their minds the physical context (e.g., where they were, what happened, who was involved) and the personal context (what they were thinking and how they were feeling) at the time they witnessed the event. They were instructed to close their eyes and concentrate on recreating the context in their mind.  The re</w:t>
      </w:r>
      <w:r w:rsidR="004E5F13" w:rsidRPr="00C574FE">
        <w:t>porting</w:t>
      </w:r>
      <w:r w:rsidR="00FE513A" w:rsidRPr="00C574FE">
        <w:t xml:space="preserve"> booklet was divided into sections.  The first required a completely open-ended report about the event and the people, with interviewees asked to record every detail they could about the event and the people involved, no matter how trivial or incomplete the information might seem.  Each piece of information was reported on a new line together with a rating of how sure they were that each response was correct on a s</w:t>
      </w:r>
      <w:r w:rsidR="00E36B8A" w:rsidRPr="00C574FE">
        <w:t xml:space="preserve">cale of </w:t>
      </w:r>
      <w:r w:rsidR="00FE513A" w:rsidRPr="00C574FE">
        <w:t xml:space="preserve">0% (very very unsure) to 100% (very very sure).  The second </w:t>
      </w:r>
      <w:r w:rsidR="00E36B8A" w:rsidRPr="00C574FE">
        <w:t xml:space="preserve">section </w:t>
      </w:r>
      <w:r w:rsidR="00BA1990" w:rsidRPr="00C574FE">
        <w:t xml:space="preserve">focused on </w:t>
      </w:r>
      <w:r w:rsidR="00FE513A" w:rsidRPr="00C574FE">
        <w:t xml:space="preserve">the perpetrators (even if they had already provide details about them) and </w:t>
      </w:r>
      <w:r w:rsidR="00BA1990" w:rsidRPr="00C574FE">
        <w:t>provided</w:t>
      </w:r>
      <w:r w:rsidR="00FE513A" w:rsidRPr="00C574FE">
        <w:t xml:space="preserve"> an array of 12 </w:t>
      </w:r>
      <w:r w:rsidR="00FE513A" w:rsidRPr="00C574FE">
        <w:lastRenderedPageBreak/>
        <w:t xml:space="preserve">prompts </w:t>
      </w:r>
      <w:r w:rsidR="00E36B8A" w:rsidRPr="00C574FE">
        <w:t xml:space="preserve">covering details such as </w:t>
      </w:r>
      <w:r w:rsidR="00FE513A" w:rsidRPr="00C574FE">
        <w:t>ethnic appearance, complexion, age, gender, facial hair, build clothing, distinguishing marks</w:t>
      </w:r>
      <w:r w:rsidR="00E36B8A" w:rsidRPr="00C574FE">
        <w:t xml:space="preserve"> and so on</w:t>
      </w:r>
      <w:r w:rsidR="00BA1990" w:rsidRPr="00C574FE">
        <w:t>.  A</w:t>
      </w:r>
      <w:r w:rsidR="00FE513A" w:rsidRPr="00C574FE">
        <w:t xml:space="preserve">gain each </w:t>
      </w:r>
      <w:r w:rsidR="00BA1990" w:rsidRPr="00C574FE">
        <w:t xml:space="preserve">detail reported was </w:t>
      </w:r>
      <w:r w:rsidR="00E36B8A" w:rsidRPr="00C574FE">
        <w:t xml:space="preserve">accompanied by </w:t>
      </w:r>
      <w:r w:rsidR="00FE513A" w:rsidRPr="00C574FE">
        <w:t xml:space="preserve">a confidence rating.  </w:t>
      </w:r>
      <w:r w:rsidR="00BA1990" w:rsidRPr="00C574FE">
        <w:t>Participants</w:t>
      </w:r>
      <w:r w:rsidR="00FE513A" w:rsidRPr="00C574FE">
        <w:t xml:space="preserve"> were provided with fine and coarse-grain examples, though </w:t>
      </w:r>
      <w:r w:rsidR="00E36B8A" w:rsidRPr="00C574FE">
        <w:t xml:space="preserve">they were </w:t>
      </w:r>
      <w:r w:rsidR="00FE513A" w:rsidRPr="00C574FE">
        <w:t>not labeled thus.  The third section prompted reporting about the sequence of actions and events relating to the crime (e.g., about any vehicles that may have been present and involved in the crime)</w:t>
      </w:r>
      <w:r w:rsidR="00BA1990" w:rsidRPr="00C574FE">
        <w:t xml:space="preserve">.  Again each detail reported was accompanied by a confidence rating </w:t>
      </w:r>
      <w:r w:rsidR="00FE513A" w:rsidRPr="00C574FE">
        <w:t>and fine and coarse-grain example</w:t>
      </w:r>
      <w:r w:rsidR="00BA1990" w:rsidRPr="00C574FE">
        <w:t xml:space="preserve"> were provided</w:t>
      </w:r>
      <w:r w:rsidR="00FE513A" w:rsidRPr="00C574FE">
        <w:t xml:space="preserve">.  The fourth section prompted (with an example) reporting about any other people who were present and may have been potential witnesses.  The final section (with an example) prompted for any other information they had not already been asked about or could remember. </w:t>
      </w:r>
      <w:r w:rsidR="006E0A2A" w:rsidRPr="00C574FE">
        <w:t xml:space="preserve"> </w:t>
      </w:r>
      <w:r w:rsidRPr="00C574FE">
        <w:t>In sum, th</w:t>
      </w:r>
      <w:r w:rsidR="00BA1990" w:rsidRPr="00C574FE">
        <w:t>is</w:t>
      </w:r>
      <w:r w:rsidRPr="00C574FE">
        <w:t xml:space="preserve"> adapted </w:t>
      </w:r>
      <w:r w:rsidR="00BA1990" w:rsidRPr="00C574FE">
        <w:t xml:space="preserve">version of the </w:t>
      </w:r>
      <w:r w:rsidRPr="00C574FE">
        <w:t>SAI</w:t>
      </w:r>
      <w:r w:rsidRPr="00C574FE">
        <w:rPr>
          <w:vertAlign w:val="superscript"/>
        </w:rPr>
        <w:t>©</w:t>
      </w:r>
      <w:r w:rsidRPr="00C574FE">
        <w:t xml:space="preserve"> combined free recall with various open-ended cues or prompts and recorded confidence for each reported detail.</w:t>
      </w:r>
    </w:p>
    <w:p w14:paraId="4520BE81" w14:textId="2741AA48" w:rsidR="003F5210" w:rsidRPr="00C574FE" w:rsidRDefault="00C47E50" w:rsidP="00A818F0">
      <w:pPr>
        <w:pStyle w:val="ANPhDThesisBody"/>
        <w:rPr>
          <w:szCs w:val="24"/>
        </w:rPr>
      </w:pPr>
      <w:r w:rsidRPr="00C574FE">
        <w:rPr>
          <w:szCs w:val="24"/>
        </w:rPr>
        <w:t xml:space="preserve">The free recall interview was presented in a typewritten booklet </w:t>
      </w:r>
      <w:r w:rsidR="00A25FCA" w:rsidRPr="00C574FE">
        <w:t>(see Supplementary Materials p.</w:t>
      </w:r>
      <w:r w:rsidR="004D3DBA" w:rsidRPr="00C574FE">
        <w:t>6</w:t>
      </w:r>
      <w:r w:rsidR="00A25FCA" w:rsidRPr="00C574FE">
        <w:t xml:space="preserve">) </w:t>
      </w:r>
      <w:r w:rsidRPr="00C574FE">
        <w:rPr>
          <w:szCs w:val="24"/>
        </w:rPr>
        <w:t>with the single free-re</w:t>
      </w:r>
      <w:r w:rsidR="007E2C6C" w:rsidRPr="00C574FE">
        <w:rPr>
          <w:szCs w:val="24"/>
        </w:rPr>
        <w:t>call</w:t>
      </w:r>
      <w:r w:rsidRPr="00C574FE">
        <w:rPr>
          <w:szCs w:val="24"/>
        </w:rPr>
        <w:t xml:space="preserve"> instruction to “write down everything you can remember about the video you just saw”</w:t>
      </w:r>
      <w:r w:rsidR="00526CB7" w:rsidRPr="00C574FE">
        <w:rPr>
          <w:szCs w:val="24"/>
        </w:rPr>
        <w:t xml:space="preserve"> in the 10-page booklet provided.</w:t>
      </w:r>
      <w:r w:rsidRPr="00C574FE">
        <w:rPr>
          <w:szCs w:val="24"/>
        </w:rPr>
        <w:t xml:space="preserve">  Additional opening instructions and examples of responses were used to be consistent with the other interview techniques, with the exception of explaining grain size.  Participants were instructed to use as many pages in the booklet as required.  The free recall</w:t>
      </w:r>
      <w:r w:rsidR="009B3132" w:rsidRPr="00C574FE">
        <w:rPr>
          <w:szCs w:val="24"/>
        </w:rPr>
        <w:t xml:space="preserve"> plus </w:t>
      </w:r>
      <w:r w:rsidRPr="00C574FE">
        <w:rPr>
          <w:szCs w:val="24"/>
        </w:rPr>
        <w:t xml:space="preserve">confidence interview </w:t>
      </w:r>
      <w:r w:rsidR="00A25FCA" w:rsidRPr="00C574FE">
        <w:rPr>
          <w:szCs w:val="24"/>
        </w:rPr>
        <w:t>(</w:t>
      </w:r>
      <w:r w:rsidR="004D3DBA" w:rsidRPr="00C574FE">
        <w:rPr>
          <w:szCs w:val="24"/>
        </w:rPr>
        <w:t>see Supplementary Materials pp.7</w:t>
      </w:r>
      <w:r w:rsidR="00A25FCA" w:rsidRPr="00C574FE">
        <w:rPr>
          <w:szCs w:val="24"/>
        </w:rPr>
        <w:t xml:space="preserve">) </w:t>
      </w:r>
      <w:r w:rsidRPr="00C574FE">
        <w:rPr>
          <w:szCs w:val="24"/>
        </w:rPr>
        <w:t>was presented in the same way as the free recall interview</w:t>
      </w:r>
      <w:r w:rsidR="009C2E1C" w:rsidRPr="00C574FE">
        <w:rPr>
          <w:szCs w:val="24"/>
        </w:rPr>
        <w:t>,</w:t>
      </w:r>
      <w:r w:rsidRPr="00C574FE">
        <w:rPr>
          <w:szCs w:val="24"/>
        </w:rPr>
        <w:t xml:space="preserve"> with additional instructions for participants to write one response detail per line and indicate their confidence in the veracity of that particular detail on the confidence scale underneath the line.  </w:t>
      </w:r>
    </w:p>
    <w:p w14:paraId="35343AEC" w14:textId="1053E041" w:rsidR="00866A80" w:rsidRPr="00C574FE" w:rsidRDefault="00866A80" w:rsidP="00866A80">
      <w:pPr>
        <w:pStyle w:val="ANPhDThesisBody"/>
      </w:pPr>
      <w:r w:rsidRPr="00C574FE">
        <w:rPr>
          <w:b/>
          <w:szCs w:val="24"/>
        </w:rPr>
        <w:t>Experiment</w:t>
      </w:r>
      <w:r w:rsidR="0030593F" w:rsidRPr="00C574FE">
        <w:rPr>
          <w:b/>
          <w:szCs w:val="24"/>
        </w:rPr>
        <w:t xml:space="preserve"> 2</w:t>
      </w:r>
      <w:r w:rsidRPr="00C574FE">
        <w:rPr>
          <w:szCs w:val="24"/>
        </w:rPr>
        <w:t>.  The individual verbal interview procedure</w:t>
      </w:r>
      <w:r w:rsidR="0030593F" w:rsidRPr="00C574FE">
        <w:rPr>
          <w:szCs w:val="24"/>
        </w:rPr>
        <w:t xml:space="preserve"> was the same a</w:t>
      </w:r>
      <w:r w:rsidRPr="00C574FE">
        <w:rPr>
          <w:szCs w:val="24"/>
        </w:rPr>
        <w:t>s for Experiment</w:t>
      </w:r>
      <w:r w:rsidR="0030593F" w:rsidRPr="00C574FE">
        <w:rPr>
          <w:szCs w:val="24"/>
        </w:rPr>
        <w:t xml:space="preserve"> 1</w:t>
      </w:r>
      <w:r w:rsidRPr="00C574FE">
        <w:rPr>
          <w:szCs w:val="24"/>
        </w:rPr>
        <w:t>, with the following three exceptions.  First, participants were told</w:t>
      </w:r>
      <w:r w:rsidR="000A4E80" w:rsidRPr="00C574FE">
        <w:rPr>
          <w:szCs w:val="24"/>
        </w:rPr>
        <w:t>:</w:t>
      </w:r>
      <w:r w:rsidRPr="00C574FE">
        <w:rPr>
          <w:szCs w:val="24"/>
        </w:rPr>
        <w:t xml:space="preserve"> </w:t>
      </w:r>
      <w:r w:rsidRPr="00C574FE">
        <w:rPr>
          <w:i/>
          <w:szCs w:val="24"/>
        </w:rPr>
        <w:t xml:space="preserve">I have </w:t>
      </w:r>
      <w:r w:rsidR="00B20717" w:rsidRPr="00C574FE">
        <w:rPr>
          <w:i/>
          <w:szCs w:val="24"/>
        </w:rPr>
        <w:t xml:space="preserve">a </w:t>
      </w:r>
      <w:r w:rsidRPr="00C574FE">
        <w:rPr>
          <w:i/>
          <w:szCs w:val="24"/>
        </w:rPr>
        <w:t xml:space="preserve">set </w:t>
      </w:r>
      <w:r w:rsidR="00B20717" w:rsidRPr="00C574FE">
        <w:rPr>
          <w:i/>
          <w:szCs w:val="24"/>
        </w:rPr>
        <w:t xml:space="preserve">of </w:t>
      </w:r>
      <w:r w:rsidRPr="00C574FE">
        <w:rPr>
          <w:i/>
          <w:szCs w:val="24"/>
        </w:rPr>
        <w:t>instructions about what questions I ask you, in what order I ask them, and how I ask them.  Sometimes I might interrupt you.  That doesn’t mean you’re wrong, it just means that I have to ask something according to my instructions and in a particular order.  Does that make sense?  Just give it your best shot.  Do you have any questions?</w:t>
      </w:r>
      <w:r w:rsidRPr="00C574FE">
        <w:rPr>
          <w:szCs w:val="24"/>
        </w:rPr>
        <w:t xml:space="preserve">  These instructions were included </w:t>
      </w:r>
      <w:r w:rsidR="00A46650" w:rsidRPr="00C574FE">
        <w:rPr>
          <w:szCs w:val="24"/>
        </w:rPr>
        <w:t xml:space="preserve">in an attempt </w:t>
      </w:r>
      <w:r w:rsidRPr="00C574FE">
        <w:rPr>
          <w:szCs w:val="24"/>
        </w:rPr>
        <w:t xml:space="preserve">to minimize the impact of interruption and repetition on reporting accuracy (Garven et al., 1998; Garven et al., 2000).  </w:t>
      </w:r>
      <w:r w:rsidRPr="00C574FE">
        <w:rPr>
          <w:rFonts w:eastAsia="Batang"/>
          <w:bCs/>
        </w:rPr>
        <w:t xml:space="preserve">Second, the number of questions in the grain-size procedure was reduced </w:t>
      </w:r>
      <w:r w:rsidR="008B279C" w:rsidRPr="00C574FE">
        <w:rPr>
          <w:rFonts w:eastAsia="Batang"/>
          <w:bCs/>
        </w:rPr>
        <w:t xml:space="preserve">from 64 </w:t>
      </w:r>
      <w:r w:rsidRPr="00C574FE">
        <w:rPr>
          <w:rFonts w:eastAsia="Batang"/>
          <w:bCs/>
        </w:rPr>
        <w:t xml:space="preserve">to 43.  Questions </w:t>
      </w:r>
      <w:r w:rsidR="008B279C" w:rsidRPr="00C574FE">
        <w:rPr>
          <w:rFonts w:eastAsia="Batang"/>
          <w:bCs/>
        </w:rPr>
        <w:t xml:space="preserve">that had not been </w:t>
      </w:r>
      <w:r w:rsidRPr="00C574FE">
        <w:rPr>
          <w:rFonts w:eastAsia="Batang"/>
          <w:bCs/>
        </w:rPr>
        <w:t xml:space="preserve">spontaneously addressed </w:t>
      </w:r>
      <w:r w:rsidR="000A4E80" w:rsidRPr="00C574FE">
        <w:rPr>
          <w:rFonts w:eastAsia="Batang"/>
          <w:bCs/>
        </w:rPr>
        <w:t xml:space="preserve">by at least one </w:t>
      </w:r>
      <w:r w:rsidR="007E2C6C" w:rsidRPr="00C574FE">
        <w:rPr>
          <w:rFonts w:eastAsia="Batang"/>
          <w:bCs/>
        </w:rPr>
        <w:t>open-ended interview</w:t>
      </w:r>
      <w:r w:rsidRPr="00C574FE">
        <w:rPr>
          <w:rFonts w:eastAsia="Batang"/>
          <w:bCs/>
        </w:rPr>
        <w:t xml:space="preserve"> respon</w:t>
      </w:r>
      <w:r w:rsidR="000A4E80" w:rsidRPr="00C574FE">
        <w:rPr>
          <w:rFonts w:eastAsia="Batang"/>
          <w:bCs/>
        </w:rPr>
        <w:t>dent</w:t>
      </w:r>
      <w:r w:rsidRPr="00C574FE">
        <w:rPr>
          <w:rFonts w:eastAsia="Batang"/>
          <w:bCs/>
        </w:rPr>
        <w:t xml:space="preserve"> or for which coarse- and fine-grain responses proved to be ambiguous (e.g., skin color of actors in the video) </w:t>
      </w:r>
      <w:r w:rsidR="008B279C" w:rsidRPr="00C574FE">
        <w:rPr>
          <w:rFonts w:eastAsia="Batang"/>
          <w:bCs/>
        </w:rPr>
        <w:t xml:space="preserve">in </w:t>
      </w:r>
      <w:r w:rsidR="00A46650" w:rsidRPr="00C574FE">
        <w:rPr>
          <w:rFonts w:eastAsia="Batang"/>
          <w:bCs/>
        </w:rPr>
        <w:t>Experiment 1</w:t>
      </w:r>
      <w:r w:rsidR="008B279C" w:rsidRPr="00C574FE">
        <w:rPr>
          <w:rFonts w:eastAsia="Batang"/>
          <w:bCs/>
        </w:rPr>
        <w:t xml:space="preserve"> </w:t>
      </w:r>
      <w:r w:rsidRPr="00C574FE">
        <w:rPr>
          <w:rFonts w:eastAsia="Batang"/>
          <w:bCs/>
        </w:rPr>
        <w:t xml:space="preserve">were excluded.  </w:t>
      </w:r>
      <w:r w:rsidRPr="00C574FE">
        <w:t xml:space="preserve">If participants provided a coarse-grain response when asked for fine-grain, or vice versa, one of the example questions </w:t>
      </w:r>
      <w:r w:rsidR="00783E45" w:rsidRPr="00C574FE">
        <w:t xml:space="preserve">was re-read </w:t>
      </w:r>
      <w:r w:rsidRPr="00C574FE">
        <w:t xml:space="preserve">to remind them of the distinction.  Third, questions in both </w:t>
      </w:r>
      <w:r w:rsidR="000A4E80" w:rsidRPr="00C574FE">
        <w:t xml:space="preserve">of the </w:t>
      </w:r>
      <w:r w:rsidR="007E2C6C" w:rsidRPr="00C574FE">
        <w:t>open-ended</w:t>
      </w:r>
      <w:r w:rsidRPr="00C574FE">
        <w:t xml:space="preserve"> conditions were asked and answered verbally, and responses were audio-recorded.  If participants reported multiple details in one sentence, they were requested to provide a confidence rating for each detail.  </w:t>
      </w:r>
    </w:p>
    <w:p w14:paraId="10C21FF3" w14:textId="3C978A60" w:rsidR="0030593F" w:rsidRPr="00C574FE" w:rsidRDefault="0030593F" w:rsidP="00A415E9">
      <w:pPr>
        <w:pStyle w:val="ANPhDThesisBody"/>
      </w:pPr>
      <w:r w:rsidRPr="00C574FE">
        <w:rPr>
          <w:b/>
        </w:rPr>
        <w:t>Experiment 3.</w:t>
      </w:r>
      <w:r w:rsidRPr="00C574FE">
        <w:t xml:space="preserve">  The same interviewer conducted these interviews and the interviewing protocols were identical to those used in the written interviews in Experiment 1. </w:t>
      </w:r>
      <w:r w:rsidR="00A415E9" w:rsidRPr="00C574FE">
        <w:t xml:space="preserve"> </w:t>
      </w:r>
      <w:r w:rsidRPr="00C574FE">
        <w:t>Forty cued recall questions (three of which were skin-color questions and subsequently excluded), each allowing coarse- and fine-grain responses, were developed based on a written transcript for the credit card theft stimulus event.  Questions elicited grain size distinctions for colors, numbers, descriptions of length, and descriptions of locations.  The presentation, instructions and format matched those used in the previous experiments.  The open-ended protocols matched those in the previous experiments, as did all other aspects of the procedure.  (See Supplementary Materials pp.</w:t>
      </w:r>
      <w:r w:rsidR="004D3DBA" w:rsidRPr="00C574FE">
        <w:t>8-9</w:t>
      </w:r>
      <w:r w:rsidRPr="00C574FE">
        <w:t xml:space="preserve"> for forced-report questions.)</w:t>
      </w:r>
    </w:p>
    <w:p w14:paraId="2FC54946" w14:textId="77777777" w:rsidR="00866A80" w:rsidRPr="00C574FE" w:rsidRDefault="00A818F0" w:rsidP="00866A80">
      <w:pPr>
        <w:pStyle w:val="ANPhDThesisBody"/>
        <w:tabs>
          <w:tab w:val="clear" w:pos="357"/>
          <w:tab w:val="left" w:pos="0"/>
        </w:tabs>
        <w:ind w:firstLine="0"/>
        <w:rPr>
          <w:rStyle w:val="Heading3Char"/>
          <w:rFonts w:ascii="Times New Roman" w:hAnsi="Times New Roman" w:cs="Times New Roman"/>
          <w:color w:val="auto"/>
        </w:rPr>
      </w:pPr>
      <w:bookmarkStart w:id="3" w:name="_Toc392725029"/>
      <w:r w:rsidRPr="00C574FE">
        <w:rPr>
          <w:rStyle w:val="Heading3Char"/>
          <w:rFonts w:ascii="Times New Roman" w:hAnsi="Times New Roman" w:cs="Times New Roman"/>
          <w:color w:val="auto"/>
        </w:rPr>
        <w:t>Procedure</w:t>
      </w:r>
    </w:p>
    <w:bookmarkEnd w:id="3"/>
    <w:p w14:paraId="617A42A9" w14:textId="535226B9" w:rsidR="00DD409C" w:rsidRPr="00C574FE" w:rsidRDefault="00E36AC8" w:rsidP="00A415E9">
      <w:pPr>
        <w:pStyle w:val="ANPhDThesisBody"/>
        <w:ind w:firstLine="426"/>
        <w:rPr>
          <w:szCs w:val="24"/>
        </w:rPr>
      </w:pPr>
      <w:r w:rsidRPr="00C574FE">
        <w:rPr>
          <w:szCs w:val="24"/>
        </w:rPr>
        <w:t>Experiment</w:t>
      </w:r>
      <w:r w:rsidR="00A415E9" w:rsidRPr="00C574FE">
        <w:rPr>
          <w:szCs w:val="24"/>
        </w:rPr>
        <w:t>s 1 and 3 i</w:t>
      </w:r>
      <w:r w:rsidR="00A818F0" w:rsidRPr="00C574FE">
        <w:rPr>
          <w:szCs w:val="24"/>
        </w:rPr>
        <w:t xml:space="preserve">nterview sessions were conducted in </w:t>
      </w:r>
      <w:r w:rsidR="001A54EE" w:rsidRPr="00C574FE">
        <w:rPr>
          <w:szCs w:val="24"/>
        </w:rPr>
        <w:t>university t</w:t>
      </w:r>
      <w:r w:rsidR="00A818F0" w:rsidRPr="00C574FE">
        <w:rPr>
          <w:szCs w:val="24"/>
        </w:rPr>
        <w:t>utorial rooms or</w:t>
      </w:r>
      <w:r w:rsidR="00660A8B" w:rsidRPr="00C574FE">
        <w:rPr>
          <w:szCs w:val="24"/>
        </w:rPr>
        <w:t xml:space="preserve"> rooms at community libraries</w:t>
      </w:r>
      <w:r w:rsidR="00A415E9" w:rsidRPr="00C574FE">
        <w:rPr>
          <w:szCs w:val="24"/>
        </w:rPr>
        <w:t xml:space="preserve"> and involved testing of </w:t>
      </w:r>
      <w:r w:rsidR="00A818F0" w:rsidRPr="00C574FE">
        <w:rPr>
          <w:szCs w:val="24"/>
        </w:rPr>
        <w:t xml:space="preserve">small groups </w:t>
      </w:r>
      <w:r w:rsidR="00ED41A1" w:rsidRPr="00C574FE">
        <w:rPr>
          <w:szCs w:val="24"/>
        </w:rPr>
        <w:t>of 5-15</w:t>
      </w:r>
      <w:r w:rsidR="00A818F0" w:rsidRPr="00C574FE">
        <w:rPr>
          <w:szCs w:val="24"/>
        </w:rPr>
        <w:t xml:space="preserve">.  Participants were told that they would be watching a short non-violent crime and were instructed to </w:t>
      </w:r>
      <w:r w:rsidR="00A818F0" w:rsidRPr="00C574FE">
        <w:rPr>
          <w:i/>
          <w:szCs w:val="24"/>
        </w:rPr>
        <w:t>please pay attention to the video as you will be answering some questions about it later</w:t>
      </w:r>
      <w:r w:rsidR="00A818F0" w:rsidRPr="00C574FE">
        <w:rPr>
          <w:szCs w:val="24"/>
        </w:rPr>
        <w:t xml:space="preserve">.  The stimulus event was presented to participants on a projector screen or television depending on facilities.  Participants were then instructed to take out their interviews, read the instructions, and commence.  </w:t>
      </w:r>
      <w:r w:rsidR="00ED41A1" w:rsidRPr="00C574FE">
        <w:rPr>
          <w:szCs w:val="24"/>
        </w:rPr>
        <w:t xml:space="preserve">Upon completion </w:t>
      </w:r>
      <w:r w:rsidR="00047AB5" w:rsidRPr="00C574FE">
        <w:rPr>
          <w:szCs w:val="24"/>
        </w:rPr>
        <w:t xml:space="preserve">of the 30-80 minute session </w:t>
      </w:r>
      <w:r w:rsidR="00A818F0" w:rsidRPr="00C574FE">
        <w:rPr>
          <w:szCs w:val="24"/>
        </w:rPr>
        <w:t xml:space="preserve">they were given a feedback sheet and paid </w:t>
      </w:r>
      <w:r w:rsidR="00ED41A1" w:rsidRPr="00C574FE">
        <w:rPr>
          <w:szCs w:val="24"/>
        </w:rPr>
        <w:t>a</w:t>
      </w:r>
      <w:r w:rsidR="00783E45" w:rsidRPr="00C574FE">
        <w:rPr>
          <w:szCs w:val="24"/>
        </w:rPr>
        <w:t>n</w:t>
      </w:r>
      <w:r w:rsidR="00ED41A1" w:rsidRPr="00C574FE">
        <w:rPr>
          <w:szCs w:val="24"/>
        </w:rPr>
        <w:t xml:space="preserve"> honorarium</w:t>
      </w:r>
      <w:r w:rsidR="00A818F0" w:rsidRPr="00C574FE">
        <w:rPr>
          <w:szCs w:val="24"/>
        </w:rPr>
        <w:t xml:space="preserve">.  </w:t>
      </w:r>
      <w:r w:rsidR="00A415E9" w:rsidRPr="00C574FE">
        <w:rPr>
          <w:szCs w:val="24"/>
        </w:rPr>
        <w:t>Experiment 2 p</w:t>
      </w:r>
      <w:r w:rsidRPr="00C574FE">
        <w:rPr>
          <w:szCs w:val="24"/>
        </w:rPr>
        <w:t>articipants were</w:t>
      </w:r>
      <w:r w:rsidR="00A415E9" w:rsidRPr="00C574FE">
        <w:rPr>
          <w:szCs w:val="24"/>
        </w:rPr>
        <w:t xml:space="preserve"> interviewed in a laboratory on campus</w:t>
      </w:r>
      <w:r w:rsidRPr="00C574FE">
        <w:rPr>
          <w:szCs w:val="24"/>
        </w:rPr>
        <w:t>.</w:t>
      </w:r>
    </w:p>
    <w:p w14:paraId="2A5C273C" w14:textId="77777777" w:rsidR="00302684" w:rsidRPr="00C574FE" w:rsidRDefault="00302684" w:rsidP="00302684">
      <w:pPr>
        <w:pStyle w:val="ANPhDThesisBody"/>
        <w:ind w:firstLine="0"/>
        <w:rPr>
          <w:b/>
        </w:rPr>
      </w:pPr>
      <w:bookmarkStart w:id="4" w:name="_Toc392725020"/>
      <w:r w:rsidRPr="00C574FE">
        <w:rPr>
          <w:b/>
        </w:rPr>
        <w:t>Dependent Measures</w:t>
      </w:r>
    </w:p>
    <w:p w14:paraId="2C59FA78" w14:textId="5403B74E" w:rsidR="00302684" w:rsidRPr="00C574FE" w:rsidRDefault="00302684" w:rsidP="00302684">
      <w:pPr>
        <w:pStyle w:val="ANPhDThesisBody"/>
        <w:ind w:firstLine="426"/>
        <w:rPr>
          <w:szCs w:val="24"/>
        </w:rPr>
      </w:pPr>
      <w:r w:rsidRPr="00C574FE">
        <w:t xml:space="preserve">The key measures were the total number of coarse-grain details reported, the number of </w:t>
      </w:r>
      <w:r w:rsidR="0009293A" w:rsidRPr="00C574FE">
        <w:t xml:space="preserve">correct </w:t>
      </w:r>
      <w:r w:rsidRPr="00C574FE">
        <w:t>coarse-grain details and the</w:t>
      </w:r>
      <w:r w:rsidR="0009293A" w:rsidRPr="00C574FE">
        <w:t xml:space="preserve"> overall</w:t>
      </w:r>
      <w:r w:rsidRPr="00C574FE">
        <w:t xml:space="preserve"> accuracy (i.e., proportion correct)</w:t>
      </w:r>
      <w:r w:rsidR="0009293A" w:rsidRPr="00C574FE">
        <w:t xml:space="preserve"> of coarse-grain details</w:t>
      </w:r>
      <w:r w:rsidRPr="00C574FE">
        <w:t xml:space="preserve">, with these measures also indexed at and above each level of confidence.  </w:t>
      </w:r>
      <w:bookmarkEnd w:id="4"/>
      <w:r w:rsidRPr="00C574FE">
        <w:t>Similar statistics were also available for fine-grain details</w:t>
      </w:r>
      <w:r w:rsidR="000A4E80" w:rsidRPr="00C574FE">
        <w:t xml:space="preserve"> and preferred</w:t>
      </w:r>
      <w:r w:rsidR="0009293A" w:rsidRPr="00C574FE">
        <w:t xml:space="preserve"> </w:t>
      </w:r>
      <w:r w:rsidR="000A4E80" w:rsidRPr="00C574FE">
        <w:t>responses</w:t>
      </w:r>
      <w:r w:rsidRPr="00C574FE">
        <w:t>.</w:t>
      </w:r>
    </w:p>
    <w:p w14:paraId="12EAA6FC" w14:textId="77777777" w:rsidR="00302684" w:rsidRPr="00C574FE" w:rsidRDefault="00D554EB" w:rsidP="00302684">
      <w:pPr>
        <w:pStyle w:val="ANPhDThesisBody"/>
        <w:ind w:firstLine="0"/>
        <w:rPr>
          <w:b/>
          <w:szCs w:val="24"/>
        </w:rPr>
      </w:pPr>
      <w:r w:rsidRPr="00C574FE">
        <w:rPr>
          <w:b/>
          <w:szCs w:val="24"/>
        </w:rPr>
        <w:t>S</w:t>
      </w:r>
      <w:r w:rsidR="00EE4E86" w:rsidRPr="00C574FE">
        <w:rPr>
          <w:b/>
          <w:szCs w:val="24"/>
        </w:rPr>
        <w:t>coring</w:t>
      </w:r>
      <w:r w:rsidRPr="00C574FE">
        <w:rPr>
          <w:b/>
          <w:szCs w:val="24"/>
        </w:rPr>
        <w:t xml:space="preserve"> of </w:t>
      </w:r>
      <w:r w:rsidR="00302684" w:rsidRPr="00C574FE">
        <w:rPr>
          <w:b/>
          <w:szCs w:val="24"/>
        </w:rPr>
        <w:t>M</w:t>
      </w:r>
      <w:r w:rsidRPr="00C574FE">
        <w:rPr>
          <w:b/>
          <w:szCs w:val="24"/>
        </w:rPr>
        <w:t xml:space="preserve">emory </w:t>
      </w:r>
      <w:r w:rsidR="00302684" w:rsidRPr="00C574FE">
        <w:rPr>
          <w:b/>
          <w:szCs w:val="24"/>
        </w:rPr>
        <w:t>R</w:t>
      </w:r>
      <w:r w:rsidRPr="00C574FE">
        <w:rPr>
          <w:b/>
          <w:szCs w:val="24"/>
        </w:rPr>
        <w:t>eports</w:t>
      </w:r>
    </w:p>
    <w:p w14:paraId="4F14DFC5" w14:textId="15B49740" w:rsidR="00EE4E86" w:rsidRPr="00C574FE" w:rsidRDefault="00AE693B" w:rsidP="001934E9">
      <w:pPr>
        <w:pStyle w:val="ANPhDThesisBody"/>
        <w:ind w:firstLine="426"/>
        <w:rPr>
          <w:szCs w:val="24"/>
        </w:rPr>
      </w:pPr>
      <w:r w:rsidRPr="00C574FE">
        <w:rPr>
          <w:szCs w:val="24"/>
        </w:rPr>
        <w:t>Guided by partic</w:t>
      </w:r>
      <w:r w:rsidR="000B6499" w:rsidRPr="00C574FE">
        <w:rPr>
          <w:szCs w:val="24"/>
        </w:rPr>
        <w:t>i</w:t>
      </w:r>
      <w:r w:rsidRPr="00C574FE">
        <w:rPr>
          <w:szCs w:val="24"/>
        </w:rPr>
        <w:t>pants’ responses from previous studies (</w:t>
      </w:r>
      <w:r w:rsidR="00C0122C">
        <w:rPr>
          <w:szCs w:val="24"/>
        </w:rPr>
        <w:t>Weber &amp; Brewer, 2008</w:t>
      </w:r>
      <w:r w:rsidRPr="00C574FE">
        <w:rPr>
          <w:szCs w:val="24"/>
        </w:rPr>
        <w:t>) a</w:t>
      </w:r>
      <w:r w:rsidR="000A33E6" w:rsidRPr="00C574FE">
        <w:rPr>
          <w:szCs w:val="24"/>
        </w:rPr>
        <w:t xml:space="preserve"> detailed list of accurate fine-grained responses, accurate coarse-grained responses, and inaccurate responses for each question was compiled against which to compare participants’ responses.  </w:t>
      </w:r>
      <w:r w:rsidR="00EE4E86" w:rsidRPr="00C574FE">
        <w:rPr>
          <w:szCs w:val="24"/>
        </w:rPr>
        <w:t xml:space="preserve">The key objective of our studies was to determine if the use of the grain size procedure could produce meaningful </w:t>
      </w:r>
      <w:r w:rsidR="00807E65" w:rsidRPr="00C574FE">
        <w:rPr>
          <w:szCs w:val="24"/>
        </w:rPr>
        <w:t xml:space="preserve">indications of </w:t>
      </w:r>
      <w:r w:rsidR="00EE4E86" w:rsidRPr="00C574FE">
        <w:rPr>
          <w:szCs w:val="24"/>
        </w:rPr>
        <w:t>increases in the quantity of accurate coarse-grain memory reports</w:t>
      </w:r>
      <w:r w:rsidR="00D554EB" w:rsidRPr="00C574FE">
        <w:rPr>
          <w:szCs w:val="24"/>
        </w:rPr>
        <w:t xml:space="preserve"> and, </w:t>
      </w:r>
      <w:r w:rsidR="00302684" w:rsidRPr="00C574FE">
        <w:rPr>
          <w:szCs w:val="24"/>
        </w:rPr>
        <w:t>with or without</w:t>
      </w:r>
      <w:r w:rsidR="00D554EB" w:rsidRPr="00C574FE">
        <w:rPr>
          <w:szCs w:val="24"/>
        </w:rPr>
        <w:t xml:space="preserve"> the aid of supporting confidence judgments, provide a reliable indication of likely accuracy.  In other words, while we were interested in comparative coarse-grain data obtained via the grain size procedure and the other </w:t>
      </w:r>
      <w:r w:rsidR="007E2C6C" w:rsidRPr="00C574FE">
        <w:rPr>
          <w:szCs w:val="24"/>
        </w:rPr>
        <w:t xml:space="preserve">open-ended </w:t>
      </w:r>
      <w:r w:rsidR="00D554EB" w:rsidRPr="00C574FE">
        <w:rPr>
          <w:szCs w:val="24"/>
        </w:rPr>
        <w:t xml:space="preserve">approaches to interviewing, </w:t>
      </w:r>
      <w:r w:rsidR="00AA1977" w:rsidRPr="00C574FE">
        <w:rPr>
          <w:szCs w:val="24"/>
        </w:rPr>
        <w:t xml:space="preserve">our </w:t>
      </w:r>
      <w:r w:rsidR="00D554EB" w:rsidRPr="00C574FE">
        <w:rPr>
          <w:szCs w:val="24"/>
        </w:rPr>
        <w:t xml:space="preserve">objective was not to </w:t>
      </w:r>
      <w:r w:rsidR="00302684" w:rsidRPr="00C574FE">
        <w:rPr>
          <w:szCs w:val="24"/>
        </w:rPr>
        <w:t xml:space="preserve">argue for </w:t>
      </w:r>
      <w:r w:rsidR="00D554EB" w:rsidRPr="00C574FE">
        <w:rPr>
          <w:szCs w:val="24"/>
        </w:rPr>
        <w:t xml:space="preserve">some kind of </w:t>
      </w:r>
      <w:r w:rsidR="004D3DBA" w:rsidRPr="00C574FE">
        <w:rPr>
          <w:szCs w:val="24"/>
        </w:rPr>
        <w:t>definitive</w:t>
      </w:r>
      <w:r w:rsidR="00302684" w:rsidRPr="00C574FE">
        <w:rPr>
          <w:szCs w:val="24"/>
        </w:rPr>
        <w:t xml:space="preserve"> </w:t>
      </w:r>
      <w:r w:rsidR="00D554EB" w:rsidRPr="00C574FE">
        <w:rPr>
          <w:szCs w:val="24"/>
        </w:rPr>
        <w:t xml:space="preserve">ranking of procedures based on </w:t>
      </w:r>
      <w:r w:rsidR="00302684" w:rsidRPr="00C574FE">
        <w:rPr>
          <w:szCs w:val="24"/>
        </w:rPr>
        <w:t xml:space="preserve">the precise </w:t>
      </w:r>
      <w:r w:rsidR="00D554EB" w:rsidRPr="00C574FE">
        <w:rPr>
          <w:szCs w:val="24"/>
        </w:rPr>
        <w:t>outputs</w:t>
      </w:r>
      <w:r w:rsidR="00302684" w:rsidRPr="00C574FE">
        <w:rPr>
          <w:szCs w:val="24"/>
        </w:rPr>
        <w:t xml:space="preserve"> of each</w:t>
      </w:r>
      <w:r w:rsidR="00D554EB" w:rsidRPr="00C574FE">
        <w:rPr>
          <w:szCs w:val="24"/>
        </w:rPr>
        <w:t xml:space="preserve">.  </w:t>
      </w:r>
      <w:r w:rsidR="000A4E80" w:rsidRPr="00C574FE">
        <w:rPr>
          <w:szCs w:val="24"/>
        </w:rPr>
        <w:t xml:space="preserve">As indicated earlier, </w:t>
      </w:r>
      <w:r w:rsidR="00302684" w:rsidRPr="00C574FE">
        <w:rPr>
          <w:szCs w:val="24"/>
        </w:rPr>
        <w:t xml:space="preserve">the precise outputs from any or all of the procedures </w:t>
      </w:r>
      <w:r w:rsidR="000A4E80" w:rsidRPr="00C574FE">
        <w:rPr>
          <w:szCs w:val="24"/>
        </w:rPr>
        <w:t xml:space="preserve">must vary with the number and difficulty of questions asked, and also </w:t>
      </w:r>
      <w:r w:rsidR="00302684" w:rsidRPr="00C574FE">
        <w:rPr>
          <w:szCs w:val="24"/>
        </w:rPr>
        <w:t xml:space="preserve">with an array of variables such as the characteristics of the stimulus event, the retention interval between encoding and initial interview, and so on.  </w:t>
      </w:r>
      <w:r w:rsidR="00783E45" w:rsidRPr="00C574FE">
        <w:rPr>
          <w:szCs w:val="24"/>
        </w:rPr>
        <w:t>O</w:t>
      </w:r>
      <w:r w:rsidR="00D554EB" w:rsidRPr="00C574FE">
        <w:rPr>
          <w:szCs w:val="24"/>
        </w:rPr>
        <w:t xml:space="preserve">ur focus was on </w:t>
      </w:r>
      <w:r w:rsidR="000A4E80" w:rsidRPr="00C574FE">
        <w:rPr>
          <w:szCs w:val="24"/>
        </w:rPr>
        <w:t xml:space="preserve">the extent of coarse-grain reporting and </w:t>
      </w:r>
      <w:r w:rsidR="00D554EB" w:rsidRPr="00C574FE">
        <w:rPr>
          <w:szCs w:val="24"/>
        </w:rPr>
        <w:t xml:space="preserve">whether the grain size procedure could produce reliable coarse-grain </w:t>
      </w:r>
      <w:r w:rsidR="00302684" w:rsidRPr="00C574FE">
        <w:rPr>
          <w:szCs w:val="24"/>
        </w:rPr>
        <w:t xml:space="preserve">information </w:t>
      </w:r>
      <w:r w:rsidR="00D554EB" w:rsidRPr="00C574FE">
        <w:rPr>
          <w:szCs w:val="24"/>
        </w:rPr>
        <w:t xml:space="preserve">that might assist an investigation and </w:t>
      </w:r>
      <w:r w:rsidR="00302684" w:rsidRPr="00C574FE">
        <w:rPr>
          <w:szCs w:val="24"/>
        </w:rPr>
        <w:t>yet</w:t>
      </w:r>
      <w:r w:rsidR="00C6773C" w:rsidRPr="00C574FE">
        <w:rPr>
          <w:szCs w:val="24"/>
        </w:rPr>
        <w:t xml:space="preserve"> – based on the comparisons with the various </w:t>
      </w:r>
      <w:r w:rsidR="007E2C6C" w:rsidRPr="00C574FE">
        <w:rPr>
          <w:szCs w:val="24"/>
        </w:rPr>
        <w:t>open-ended</w:t>
      </w:r>
      <w:r w:rsidR="00C6773C" w:rsidRPr="00C574FE">
        <w:rPr>
          <w:szCs w:val="24"/>
        </w:rPr>
        <w:t xml:space="preserve"> conditions – seemed</w:t>
      </w:r>
      <w:r w:rsidR="00D554EB" w:rsidRPr="00C574FE">
        <w:rPr>
          <w:szCs w:val="24"/>
        </w:rPr>
        <w:t xml:space="preserve"> unlikely to be elicited via the typical interview protocols.  As will become apparent, this motivation had important implications for th</w:t>
      </w:r>
      <w:r w:rsidR="00356ACC" w:rsidRPr="00C574FE">
        <w:rPr>
          <w:szCs w:val="24"/>
        </w:rPr>
        <w:t>e</w:t>
      </w:r>
      <w:r w:rsidR="00D554EB" w:rsidRPr="00C574FE">
        <w:rPr>
          <w:szCs w:val="24"/>
        </w:rPr>
        <w:t xml:space="preserve"> way in which we scored memory reports.</w:t>
      </w:r>
    </w:p>
    <w:p w14:paraId="286D12F3" w14:textId="52E9A02E" w:rsidR="000E53FE" w:rsidRPr="00C574FE" w:rsidRDefault="00356ACC" w:rsidP="00324D33">
      <w:pPr>
        <w:pStyle w:val="CommentText"/>
        <w:spacing w:line="480" w:lineRule="auto"/>
        <w:ind w:firstLine="426"/>
        <w:rPr>
          <w:rFonts w:eastAsia="Batang"/>
          <w:bCs/>
          <w:sz w:val="24"/>
          <w:szCs w:val="24"/>
        </w:rPr>
      </w:pPr>
      <w:r w:rsidRPr="00C574FE">
        <w:rPr>
          <w:sz w:val="24"/>
          <w:szCs w:val="24"/>
        </w:rPr>
        <w:t>A detailed discussion of issues associated with data scoring is provided in the Supplementary Materials (pp.</w:t>
      </w:r>
      <w:r w:rsidR="001A54EE" w:rsidRPr="00C574FE">
        <w:rPr>
          <w:sz w:val="24"/>
          <w:szCs w:val="24"/>
        </w:rPr>
        <w:t xml:space="preserve"> </w:t>
      </w:r>
      <w:r w:rsidR="000A4E80" w:rsidRPr="00C574FE">
        <w:rPr>
          <w:sz w:val="24"/>
          <w:szCs w:val="24"/>
        </w:rPr>
        <w:t>1</w:t>
      </w:r>
      <w:r w:rsidR="004D3DBA" w:rsidRPr="00C574FE">
        <w:rPr>
          <w:sz w:val="24"/>
          <w:szCs w:val="24"/>
        </w:rPr>
        <w:t>0-1</w:t>
      </w:r>
      <w:r w:rsidR="004F07DA" w:rsidRPr="00C574FE">
        <w:rPr>
          <w:sz w:val="24"/>
          <w:szCs w:val="24"/>
        </w:rPr>
        <w:t>1</w:t>
      </w:r>
      <w:r w:rsidRPr="00C574FE">
        <w:rPr>
          <w:sz w:val="24"/>
          <w:szCs w:val="24"/>
        </w:rPr>
        <w:t xml:space="preserve">).  Here we summarize the major points.  </w:t>
      </w:r>
      <w:r w:rsidR="00652C37" w:rsidRPr="00C574FE">
        <w:rPr>
          <w:rFonts w:eastAsia="Batang"/>
          <w:bCs/>
          <w:sz w:val="24"/>
          <w:szCs w:val="24"/>
        </w:rPr>
        <w:t xml:space="preserve">To permit meaningful comparisons across interview conditions, we excluded from </w:t>
      </w:r>
      <w:r w:rsidR="00473817" w:rsidRPr="00C574FE">
        <w:rPr>
          <w:rFonts w:eastAsia="Batang"/>
          <w:bCs/>
          <w:sz w:val="24"/>
          <w:szCs w:val="24"/>
        </w:rPr>
        <w:t xml:space="preserve">the summary </w:t>
      </w:r>
      <w:r w:rsidR="00652C37" w:rsidRPr="00C574FE">
        <w:rPr>
          <w:rFonts w:eastAsia="Batang"/>
          <w:bCs/>
          <w:sz w:val="24"/>
          <w:szCs w:val="24"/>
        </w:rPr>
        <w:t>descriptive statistics</w:t>
      </w:r>
      <w:r w:rsidR="00FF0200" w:rsidRPr="00C574FE">
        <w:rPr>
          <w:rFonts w:eastAsia="Batang"/>
          <w:bCs/>
          <w:sz w:val="24"/>
          <w:szCs w:val="24"/>
        </w:rPr>
        <w:t>,</w:t>
      </w:r>
      <w:r w:rsidR="00652C37" w:rsidRPr="00C574FE">
        <w:rPr>
          <w:rFonts w:eastAsia="Batang"/>
          <w:bCs/>
          <w:sz w:val="24"/>
          <w:szCs w:val="24"/>
        </w:rPr>
        <w:t xml:space="preserve"> and </w:t>
      </w:r>
      <w:r w:rsidR="00FF0200" w:rsidRPr="00C574FE">
        <w:rPr>
          <w:rFonts w:eastAsia="Batang"/>
          <w:bCs/>
          <w:sz w:val="24"/>
          <w:szCs w:val="24"/>
        </w:rPr>
        <w:t xml:space="preserve">from </w:t>
      </w:r>
      <w:r w:rsidR="00652C37" w:rsidRPr="00C574FE">
        <w:rPr>
          <w:rFonts w:eastAsia="Batang"/>
          <w:bCs/>
          <w:sz w:val="24"/>
          <w:szCs w:val="24"/>
        </w:rPr>
        <w:t xml:space="preserve">any </w:t>
      </w:r>
      <w:r w:rsidR="00473817" w:rsidRPr="00C574FE">
        <w:rPr>
          <w:rFonts w:eastAsia="Batang"/>
          <w:bCs/>
          <w:sz w:val="24"/>
          <w:szCs w:val="24"/>
        </w:rPr>
        <w:t xml:space="preserve">inferential </w:t>
      </w:r>
      <w:r w:rsidR="00652C37" w:rsidRPr="00C574FE">
        <w:rPr>
          <w:rFonts w:eastAsia="Batang"/>
          <w:bCs/>
          <w:sz w:val="24"/>
          <w:szCs w:val="24"/>
        </w:rPr>
        <w:t>statistical comparisons</w:t>
      </w:r>
      <w:r w:rsidR="00FF0200" w:rsidRPr="00C574FE">
        <w:rPr>
          <w:rFonts w:eastAsia="Batang"/>
          <w:bCs/>
          <w:sz w:val="24"/>
          <w:szCs w:val="24"/>
        </w:rPr>
        <w:t>,</w:t>
      </w:r>
      <w:r w:rsidR="00652C37" w:rsidRPr="00C574FE">
        <w:rPr>
          <w:rFonts w:eastAsia="Batang"/>
          <w:bCs/>
          <w:sz w:val="24"/>
          <w:szCs w:val="24"/>
        </w:rPr>
        <w:t xml:space="preserve"> any items that were reported under the </w:t>
      </w:r>
      <w:r w:rsidR="00302684" w:rsidRPr="00C574FE">
        <w:rPr>
          <w:rFonts w:eastAsia="Batang"/>
          <w:bCs/>
          <w:sz w:val="24"/>
          <w:szCs w:val="24"/>
        </w:rPr>
        <w:t xml:space="preserve">specific </w:t>
      </w:r>
      <w:r w:rsidR="00AA1977" w:rsidRPr="00C574FE">
        <w:rPr>
          <w:rFonts w:eastAsia="Batang"/>
          <w:bCs/>
          <w:sz w:val="24"/>
          <w:szCs w:val="24"/>
        </w:rPr>
        <w:t xml:space="preserve">cued recall </w:t>
      </w:r>
      <w:r w:rsidR="00302684" w:rsidRPr="00C574FE">
        <w:rPr>
          <w:rFonts w:eastAsia="Batang"/>
          <w:bCs/>
          <w:sz w:val="24"/>
          <w:szCs w:val="24"/>
        </w:rPr>
        <w:t xml:space="preserve">prompts of the </w:t>
      </w:r>
      <w:r w:rsidR="00652C37" w:rsidRPr="00C574FE">
        <w:rPr>
          <w:rFonts w:eastAsia="Batang"/>
          <w:bCs/>
          <w:sz w:val="24"/>
          <w:szCs w:val="24"/>
        </w:rPr>
        <w:t xml:space="preserve">grain size procedure </w:t>
      </w:r>
      <w:r w:rsidR="00473817" w:rsidRPr="00C574FE">
        <w:rPr>
          <w:rFonts w:eastAsia="Batang"/>
          <w:bCs/>
          <w:sz w:val="24"/>
          <w:szCs w:val="24"/>
        </w:rPr>
        <w:t>but n</w:t>
      </w:r>
      <w:r w:rsidR="00783E45" w:rsidRPr="00C574FE">
        <w:rPr>
          <w:rFonts w:eastAsia="Batang"/>
          <w:bCs/>
          <w:sz w:val="24"/>
          <w:szCs w:val="24"/>
        </w:rPr>
        <w:t>ever</w:t>
      </w:r>
      <w:r w:rsidR="00473817" w:rsidRPr="00C574FE">
        <w:rPr>
          <w:rFonts w:eastAsia="Batang"/>
          <w:bCs/>
          <w:sz w:val="24"/>
          <w:szCs w:val="24"/>
        </w:rPr>
        <w:t xml:space="preserve"> </w:t>
      </w:r>
      <w:r w:rsidR="00652C37" w:rsidRPr="00C574FE">
        <w:rPr>
          <w:rFonts w:eastAsia="Batang"/>
          <w:bCs/>
          <w:sz w:val="24"/>
          <w:szCs w:val="24"/>
        </w:rPr>
        <w:t xml:space="preserve">mentioned in any of the </w:t>
      </w:r>
      <w:r w:rsidR="007E2C6C" w:rsidRPr="00C574FE">
        <w:rPr>
          <w:rFonts w:eastAsia="Batang"/>
          <w:bCs/>
          <w:sz w:val="24"/>
          <w:szCs w:val="24"/>
        </w:rPr>
        <w:t>open-ended</w:t>
      </w:r>
      <w:r w:rsidR="00652C37" w:rsidRPr="00C574FE">
        <w:rPr>
          <w:rFonts w:eastAsia="Batang"/>
          <w:bCs/>
          <w:sz w:val="24"/>
          <w:szCs w:val="24"/>
        </w:rPr>
        <w:t xml:space="preserve"> interview conditions.</w:t>
      </w:r>
      <w:r w:rsidR="002E3F19" w:rsidRPr="00C574FE">
        <w:rPr>
          <w:rFonts w:eastAsia="Batang"/>
          <w:bCs/>
          <w:sz w:val="24"/>
          <w:szCs w:val="24"/>
        </w:rPr>
        <w:t xml:space="preserve">  </w:t>
      </w:r>
      <w:r w:rsidR="000E53FE" w:rsidRPr="00C574FE">
        <w:rPr>
          <w:rFonts w:eastAsia="Batang"/>
          <w:bCs/>
          <w:sz w:val="24"/>
          <w:szCs w:val="24"/>
        </w:rPr>
        <w:t>As we have already emphasized, any comparison of outputs across interview conditions is fraught with difficulty</w:t>
      </w:r>
      <w:r w:rsidR="006A275C" w:rsidRPr="00C574FE">
        <w:rPr>
          <w:rFonts w:eastAsia="Batang"/>
          <w:bCs/>
          <w:sz w:val="24"/>
          <w:szCs w:val="24"/>
        </w:rPr>
        <w:t>,</w:t>
      </w:r>
      <w:r w:rsidR="000E53FE" w:rsidRPr="00C574FE">
        <w:rPr>
          <w:rFonts w:eastAsia="Batang"/>
          <w:bCs/>
          <w:sz w:val="24"/>
          <w:szCs w:val="24"/>
        </w:rPr>
        <w:t xml:space="preserve"> </w:t>
      </w:r>
      <w:r w:rsidR="006A275C" w:rsidRPr="00C574FE">
        <w:rPr>
          <w:rFonts w:eastAsia="Batang"/>
          <w:bCs/>
          <w:sz w:val="24"/>
          <w:szCs w:val="24"/>
        </w:rPr>
        <w:t>so</w:t>
      </w:r>
      <w:r w:rsidR="000E53FE" w:rsidRPr="00C574FE">
        <w:rPr>
          <w:rFonts w:eastAsia="Batang"/>
          <w:bCs/>
          <w:sz w:val="24"/>
          <w:szCs w:val="24"/>
        </w:rPr>
        <w:t xml:space="preserve"> our focus was simply to provide some meaningful reference points for examining coarse-grain reporting.  </w:t>
      </w:r>
      <w:r w:rsidR="006A275C" w:rsidRPr="00C574FE">
        <w:rPr>
          <w:rFonts w:eastAsia="Batang"/>
          <w:bCs/>
          <w:sz w:val="24"/>
          <w:szCs w:val="24"/>
        </w:rPr>
        <w:t>By not counting items reported under the forced report, grain size procedure but never mentioned in other conditions, any comparative considerations are at least not biased by counting items that most likely would never be reported by interviewees except under forced report.</w:t>
      </w:r>
    </w:p>
    <w:p w14:paraId="6ED97AAE" w14:textId="13E30764" w:rsidR="00293E1E" w:rsidRPr="00C574FE" w:rsidRDefault="002E3F19" w:rsidP="00324D33">
      <w:pPr>
        <w:pStyle w:val="CommentText"/>
        <w:spacing w:line="480" w:lineRule="auto"/>
        <w:ind w:firstLine="426"/>
        <w:rPr>
          <w:rFonts w:eastAsia="Batang"/>
          <w:bCs/>
          <w:sz w:val="24"/>
          <w:szCs w:val="24"/>
        </w:rPr>
      </w:pPr>
      <w:r w:rsidRPr="00C574FE">
        <w:rPr>
          <w:rFonts w:eastAsia="Batang"/>
          <w:bCs/>
          <w:sz w:val="24"/>
          <w:szCs w:val="24"/>
        </w:rPr>
        <w:t xml:space="preserve">We also excluded responses to </w:t>
      </w:r>
      <w:r w:rsidRPr="00C574FE">
        <w:rPr>
          <w:sz w:val="24"/>
          <w:szCs w:val="24"/>
        </w:rPr>
        <w:t xml:space="preserve">questions relating to the skin color of characters which failed to elicit a </w:t>
      </w:r>
      <w:r w:rsidR="00FF0200" w:rsidRPr="00C574FE">
        <w:rPr>
          <w:sz w:val="24"/>
          <w:szCs w:val="24"/>
        </w:rPr>
        <w:t>coarse-</w:t>
      </w:r>
      <w:r w:rsidRPr="00C574FE">
        <w:rPr>
          <w:sz w:val="24"/>
          <w:szCs w:val="24"/>
        </w:rPr>
        <w:t xml:space="preserve"> versus </w:t>
      </w:r>
      <w:r w:rsidR="00FF0200" w:rsidRPr="00C574FE">
        <w:rPr>
          <w:sz w:val="24"/>
          <w:szCs w:val="24"/>
        </w:rPr>
        <w:t>fine</w:t>
      </w:r>
      <w:r w:rsidRPr="00C574FE">
        <w:rPr>
          <w:sz w:val="24"/>
          <w:szCs w:val="24"/>
        </w:rPr>
        <w:t xml:space="preserve">-grain distinction, with responses such as pale, fair, light, white, tanned and dark reported interchangeably as both </w:t>
      </w:r>
      <w:r w:rsidR="00FF0200" w:rsidRPr="00C574FE">
        <w:rPr>
          <w:sz w:val="24"/>
          <w:szCs w:val="24"/>
        </w:rPr>
        <w:t>coarse</w:t>
      </w:r>
      <w:r w:rsidRPr="00C574FE">
        <w:rPr>
          <w:sz w:val="24"/>
          <w:szCs w:val="24"/>
        </w:rPr>
        <w:t xml:space="preserve">- and </w:t>
      </w:r>
      <w:r w:rsidR="00FF0200" w:rsidRPr="00C574FE">
        <w:rPr>
          <w:sz w:val="24"/>
          <w:szCs w:val="24"/>
        </w:rPr>
        <w:t>fine</w:t>
      </w:r>
      <w:r w:rsidRPr="00C574FE">
        <w:rPr>
          <w:sz w:val="24"/>
          <w:szCs w:val="24"/>
        </w:rPr>
        <w:t xml:space="preserve">-grain responses. </w:t>
      </w:r>
      <w:r w:rsidR="00652C37" w:rsidRPr="00C574FE">
        <w:rPr>
          <w:rFonts w:eastAsia="Batang"/>
          <w:bCs/>
          <w:sz w:val="24"/>
          <w:szCs w:val="24"/>
        </w:rPr>
        <w:t xml:space="preserve"> Th</w:t>
      </w:r>
      <w:r w:rsidR="00474E03" w:rsidRPr="00C574FE">
        <w:rPr>
          <w:rFonts w:eastAsia="Batang"/>
          <w:bCs/>
          <w:sz w:val="24"/>
          <w:szCs w:val="24"/>
        </w:rPr>
        <w:t xml:space="preserve">e various exclusions </w:t>
      </w:r>
      <w:r w:rsidR="00652C37" w:rsidRPr="00C574FE">
        <w:rPr>
          <w:rFonts w:eastAsia="Batang"/>
          <w:bCs/>
          <w:sz w:val="24"/>
          <w:szCs w:val="24"/>
        </w:rPr>
        <w:t xml:space="preserve">resulted in the exclusion of responses to </w:t>
      </w:r>
      <w:r w:rsidRPr="00C574FE">
        <w:rPr>
          <w:rFonts w:eastAsia="Batang"/>
          <w:bCs/>
          <w:sz w:val="24"/>
          <w:szCs w:val="24"/>
        </w:rPr>
        <w:t>21</w:t>
      </w:r>
      <w:r w:rsidR="00652C37" w:rsidRPr="00C574FE">
        <w:rPr>
          <w:rFonts w:eastAsia="Batang"/>
          <w:bCs/>
          <w:sz w:val="24"/>
          <w:szCs w:val="24"/>
        </w:rPr>
        <w:t xml:space="preserve"> questions</w:t>
      </w:r>
      <w:r w:rsidR="00293E1E" w:rsidRPr="00C574FE">
        <w:rPr>
          <w:rFonts w:eastAsia="Batang"/>
          <w:bCs/>
          <w:sz w:val="24"/>
          <w:szCs w:val="24"/>
        </w:rPr>
        <w:t xml:space="preserve"> (Experiment 1)</w:t>
      </w:r>
      <w:r w:rsidR="00652C37" w:rsidRPr="00C574FE">
        <w:rPr>
          <w:rFonts w:eastAsia="Batang"/>
          <w:bCs/>
          <w:sz w:val="24"/>
          <w:szCs w:val="24"/>
        </w:rPr>
        <w:t xml:space="preserve">, </w:t>
      </w:r>
      <w:r w:rsidR="00293E1E" w:rsidRPr="00C574FE">
        <w:rPr>
          <w:rFonts w:eastAsia="Batang"/>
          <w:bCs/>
          <w:sz w:val="24"/>
          <w:szCs w:val="24"/>
        </w:rPr>
        <w:t xml:space="preserve">5 questions (Experiment </w:t>
      </w:r>
      <w:r w:rsidR="009F1357" w:rsidRPr="00C574FE">
        <w:rPr>
          <w:rFonts w:eastAsia="Batang"/>
          <w:bCs/>
          <w:sz w:val="24"/>
          <w:szCs w:val="24"/>
        </w:rPr>
        <w:t>2</w:t>
      </w:r>
      <w:r w:rsidR="00293E1E" w:rsidRPr="00C574FE">
        <w:rPr>
          <w:rFonts w:eastAsia="Batang"/>
          <w:bCs/>
          <w:sz w:val="24"/>
          <w:szCs w:val="24"/>
        </w:rPr>
        <w:t>),</w:t>
      </w:r>
      <w:r w:rsidR="009F1357" w:rsidRPr="00C574FE">
        <w:rPr>
          <w:rFonts w:eastAsia="Batang"/>
          <w:bCs/>
          <w:sz w:val="24"/>
          <w:szCs w:val="24"/>
        </w:rPr>
        <w:t xml:space="preserve"> and 9 questions (Experiment 3)</w:t>
      </w:r>
      <w:r w:rsidR="00293E1E" w:rsidRPr="00C574FE">
        <w:rPr>
          <w:rFonts w:eastAsia="Batang"/>
          <w:bCs/>
          <w:sz w:val="24"/>
          <w:szCs w:val="24"/>
        </w:rPr>
        <w:t xml:space="preserve">.  Thus, the maximum number of coarse-grain (and fine-grain) items that could be achieved under the grain size procedure was </w:t>
      </w:r>
      <w:r w:rsidRPr="00C574FE">
        <w:rPr>
          <w:rFonts w:eastAsia="Batang"/>
          <w:bCs/>
          <w:sz w:val="24"/>
          <w:szCs w:val="24"/>
        </w:rPr>
        <w:t>43</w:t>
      </w:r>
      <w:r w:rsidR="00293E1E" w:rsidRPr="00C574FE">
        <w:rPr>
          <w:rFonts w:eastAsia="Batang"/>
          <w:bCs/>
          <w:sz w:val="24"/>
          <w:szCs w:val="24"/>
        </w:rPr>
        <w:t xml:space="preserve">, </w:t>
      </w:r>
      <w:r w:rsidR="009F1357" w:rsidRPr="00C574FE">
        <w:rPr>
          <w:rFonts w:eastAsia="Batang"/>
          <w:bCs/>
          <w:sz w:val="24"/>
          <w:szCs w:val="24"/>
        </w:rPr>
        <w:t>38 and 28</w:t>
      </w:r>
      <w:r w:rsidR="00293E1E" w:rsidRPr="00C574FE">
        <w:rPr>
          <w:rFonts w:eastAsia="Batang"/>
          <w:bCs/>
          <w:sz w:val="24"/>
          <w:szCs w:val="24"/>
        </w:rPr>
        <w:t xml:space="preserve"> for Experiments 1 through </w:t>
      </w:r>
      <w:r w:rsidR="009F1357" w:rsidRPr="00C574FE">
        <w:rPr>
          <w:rFonts w:eastAsia="Batang"/>
          <w:bCs/>
          <w:sz w:val="24"/>
          <w:szCs w:val="24"/>
        </w:rPr>
        <w:t>3</w:t>
      </w:r>
      <w:r w:rsidR="00293E1E" w:rsidRPr="00C574FE">
        <w:rPr>
          <w:rFonts w:eastAsia="Batang"/>
          <w:bCs/>
          <w:sz w:val="24"/>
          <w:szCs w:val="24"/>
        </w:rPr>
        <w:t>, respectively.</w:t>
      </w:r>
    </w:p>
    <w:p w14:paraId="60DF9D41" w14:textId="4BB47094" w:rsidR="000B37B7" w:rsidRPr="00C574FE" w:rsidRDefault="000B37B7" w:rsidP="007B1F8A">
      <w:bookmarkStart w:id="5" w:name="_Toc392725037"/>
      <w:r w:rsidRPr="00C574FE">
        <w:rPr>
          <w:rStyle w:val="Heading3Char"/>
          <w:rFonts w:ascii="Times New Roman" w:hAnsi="Times New Roman" w:cs="Times New Roman"/>
          <w:color w:val="auto"/>
        </w:rPr>
        <w:t>Inter-rater reliability.</w:t>
      </w:r>
      <w:bookmarkEnd w:id="5"/>
      <w:r w:rsidRPr="00C574FE">
        <w:t xml:space="preserve">  </w:t>
      </w:r>
      <w:r w:rsidR="008C2AE8" w:rsidRPr="00C574FE">
        <w:t>For each of Experiments 1 and 2, f</w:t>
      </w:r>
      <w:r w:rsidRPr="00C574FE">
        <w:t>ive interviews (</w:t>
      </w:r>
      <w:r w:rsidR="008C2AE8" w:rsidRPr="00C574FE">
        <w:t xml:space="preserve">approximately 25% or </w:t>
      </w:r>
      <w:r w:rsidR="00F454AF" w:rsidRPr="00C574FE">
        <w:t xml:space="preserve">20 </w:t>
      </w:r>
      <w:r w:rsidR="008C2AE8" w:rsidRPr="00C574FE">
        <w:t xml:space="preserve">and 15 </w:t>
      </w:r>
      <w:r w:rsidR="00F454AF" w:rsidRPr="00C574FE">
        <w:t>different interviews</w:t>
      </w:r>
      <w:r w:rsidR="008C2AE8" w:rsidRPr="00C574FE">
        <w:t>, respectively</w:t>
      </w:r>
      <w:r w:rsidRPr="00C574FE">
        <w:t xml:space="preserve">) from each interview technique </w:t>
      </w:r>
      <w:r w:rsidR="008C2AE8" w:rsidRPr="00C574FE">
        <w:t xml:space="preserve">were </w:t>
      </w:r>
      <w:r w:rsidRPr="00C574FE">
        <w:t xml:space="preserve">randomly selected </w:t>
      </w:r>
      <w:r w:rsidR="00327A80">
        <w:t xml:space="preserve">and all responses were </w:t>
      </w:r>
      <w:r w:rsidRPr="00C574FE">
        <w:t xml:space="preserve">scored by two </w:t>
      </w:r>
      <w:r w:rsidRPr="007B1F8A">
        <w:t>raters.  Percentage agreement for each interview</w:t>
      </w:r>
      <w:r w:rsidR="00F454AF" w:rsidRPr="007B1F8A">
        <w:t xml:space="preserve"> sampled </w:t>
      </w:r>
      <w:r w:rsidRPr="007B1F8A">
        <w:t xml:space="preserve">was calculated for </w:t>
      </w:r>
      <w:r w:rsidR="00F454AF" w:rsidRPr="007B1F8A">
        <w:t xml:space="preserve">each raters’ scores of </w:t>
      </w:r>
      <w:r w:rsidRPr="007B1F8A">
        <w:t xml:space="preserve">the </w:t>
      </w:r>
      <w:r w:rsidR="00F454AF" w:rsidRPr="007B1F8A">
        <w:t xml:space="preserve">total </w:t>
      </w:r>
      <w:r w:rsidRPr="007B1F8A">
        <w:t xml:space="preserve">number of details and the </w:t>
      </w:r>
      <w:r w:rsidR="00F454AF" w:rsidRPr="007B1F8A">
        <w:t xml:space="preserve">total </w:t>
      </w:r>
      <w:r w:rsidRPr="007B1F8A">
        <w:t>number of accurate details</w:t>
      </w:r>
      <w:r w:rsidR="00F454AF" w:rsidRPr="007B1F8A">
        <w:t xml:space="preserve"> reported</w:t>
      </w:r>
      <w:r w:rsidRPr="007B1F8A">
        <w:t xml:space="preserve">.  </w:t>
      </w:r>
      <w:r w:rsidR="003F4CFF" w:rsidRPr="007B1F8A">
        <w:t>Across the various interviews using each technique</w:t>
      </w:r>
      <w:r w:rsidR="008C414B" w:rsidRPr="007B1F8A">
        <w:t>,</w:t>
      </w:r>
      <w:r w:rsidR="003F4CFF" w:rsidRPr="007B1F8A">
        <w:t xml:space="preserve"> the range for percentage agreement spanned 93.</w:t>
      </w:r>
      <w:r w:rsidR="008C2AE8" w:rsidRPr="007B1F8A">
        <w:t>3</w:t>
      </w:r>
      <w:r w:rsidR="003F4CFF" w:rsidRPr="007B1F8A">
        <w:t xml:space="preserve">-100%.  </w:t>
      </w:r>
      <w:r w:rsidR="007B1F8A" w:rsidRPr="007B1F8A">
        <w:rPr>
          <w:lang w:val="en-AU"/>
        </w:rPr>
        <w:t>Cohen’s</w:t>
      </w:r>
      <w:r w:rsidR="007B1F8A" w:rsidRPr="00134135">
        <w:rPr>
          <w:lang w:val="en-AU"/>
        </w:rPr>
        <w:t xml:space="preserve"> kappa ranged from .68 to 1 for accurate details reported in the grain size interview condition</w:t>
      </w:r>
      <w:r w:rsidR="007B1F8A">
        <w:rPr>
          <w:lang w:val="en-AU"/>
        </w:rPr>
        <w:t>; e</w:t>
      </w:r>
      <w:r w:rsidR="007B1F8A" w:rsidRPr="00134135">
        <w:rPr>
          <w:lang w:val="en-AU"/>
        </w:rPr>
        <w:t>lsewhere the number of responses was insufficient to derive a meaningful kappa</w:t>
      </w:r>
      <w:r w:rsidR="007B1F8A">
        <w:rPr>
          <w:lang w:val="en-AU"/>
        </w:rPr>
        <w:t>.</w:t>
      </w:r>
    </w:p>
    <w:p w14:paraId="7DA0A911" w14:textId="77777777" w:rsidR="00272004" w:rsidRPr="00C574FE" w:rsidRDefault="00E53DF0" w:rsidP="002E3F19">
      <w:pPr>
        <w:pStyle w:val="BodyText"/>
        <w:ind w:firstLine="0"/>
        <w:jc w:val="center"/>
      </w:pPr>
      <w:r w:rsidRPr="00C574FE">
        <w:rPr>
          <w:b/>
        </w:rPr>
        <w:t>Results</w:t>
      </w:r>
    </w:p>
    <w:p w14:paraId="1782E4F1" w14:textId="7EB34FBF" w:rsidR="00821FBC" w:rsidRPr="00C574FE" w:rsidRDefault="00C778D7" w:rsidP="00F32B3C">
      <w:pPr>
        <w:ind w:firstLine="426"/>
      </w:pPr>
      <w:r w:rsidRPr="00C574FE">
        <w:t>W</w:t>
      </w:r>
      <w:r w:rsidR="00694FDC" w:rsidRPr="00C574FE">
        <w:t>e used an alpha level of .01 f</w:t>
      </w:r>
      <w:r w:rsidR="008C414B" w:rsidRPr="00C574FE">
        <w:t xml:space="preserve">or inferential </w:t>
      </w:r>
      <w:r w:rsidR="00E35D28" w:rsidRPr="00C574FE">
        <w:t>statistical comparisons</w:t>
      </w:r>
      <w:r w:rsidRPr="00C574FE">
        <w:t xml:space="preserve">; </w:t>
      </w:r>
      <w:r w:rsidR="00E35D28" w:rsidRPr="00C574FE">
        <w:t xml:space="preserve">Cohen’s </w:t>
      </w:r>
      <w:r w:rsidR="00E35D28" w:rsidRPr="00C574FE">
        <w:rPr>
          <w:i/>
        </w:rPr>
        <w:t>f</w:t>
      </w:r>
      <w:r w:rsidR="00E35D28" w:rsidRPr="00C574FE">
        <w:t xml:space="preserve"> </w:t>
      </w:r>
      <w:r w:rsidR="00BC7899" w:rsidRPr="00C574FE">
        <w:t>was</w:t>
      </w:r>
      <w:r w:rsidR="00E35D28" w:rsidRPr="00C574FE">
        <w:t xml:space="preserve"> used as the measure of effect size for ANOVAs</w:t>
      </w:r>
      <w:r w:rsidR="00BC7899" w:rsidRPr="00C574FE">
        <w:t>, with 0.1, 0.25, and 0.4</w:t>
      </w:r>
      <w:r w:rsidR="00E35D28" w:rsidRPr="00C574FE">
        <w:t>.</w:t>
      </w:r>
      <w:r w:rsidR="00BC7899" w:rsidRPr="00C574FE">
        <w:t xml:space="preserve"> t</w:t>
      </w:r>
      <w:r w:rsidR="00E35D28" w:rsidRPr="00C574FE">
        <w:t>he guidelines for small, medium and large effects</w:t>
      </w:r>
      <w:r w:rsidR="00BC7899" w:rsidRPr="00C574FE">
        <w:t>, respectively</w:t>
      </w:r>
      <w:r w:rsidR="00B04888" w:rsidRPr="00C574FE">
        <w:t>.</w:t>
      </w:r>
      <w:r w:rsidR="00821FBC" w:rsidRPr="00C574FE">
        <w:t xml:space="preserve">  </w:t>
      </w:r>
      <w:r w:rsidR="0076673E" w:rsidRPr="00C574FE">
        <w:t>Note, however</w:t>
      </w:r>
      <w:r w:rsidR="00821FBC" w:rsidRPr="00C574FE">
        <w:t xml:space="preserve">, that in a number of the comparisons of coarse-grain accuracy between conditions, inferential statistical comparisons were not conducted because individual witnesses </w:t>
      </w:r>
      <w:r w:rsidR="00807E65" w:rsidRPr="00C574FE">
        <w:t>volunteered</w:t>
      </w:r>
      <w:r w:rsidR="00821FBC" w:rsidRPr="00C574FE">
        <w:t xml:space="preserve"> so few coarse-grain responses that the proportion correct statistic was inherently un</w:t>
      </w:r>
      <w:r w:rsidR="00BA719C" w:rsidRPr="00C574FE">
        <w:t>stable</w:t>
      </w:r>
      <w:r w:rsidR="00821FBC" w:rsidRPr="00C574FE">
        <w:t xml:space="preserve">.  </w:t>
      </w:r>
      <w:r w:rsidR="00C6773C" w:rsidRPr="00C574FE">
        <w:t>L</w:t>
      </w:r>
      <w:r w:rsidR="004279E7" w:rsidRPr="00C574FE">
        <w:t xml:space="preserve">arger </w:t>
      </w:r>
      <w:r w:rsidR="00821FBC" w:rsidRPr="00C574FE">
        <w:t xml:space="preserve">sample sizes would not have </w:t>
      </w:r>
      <w:r w:rsidR="00807E65" w:rsidRPr="00C574FE">
        <w:t xml:space="preserve">ameliorated </w:t>
      </w:r>
      <w:r w:rsidR="00821FBC" w:rsidRPr="00C574FE">
        <w:t xml:space="preserve">this problem </w:t>
      </w:r>
      <w:r w:rsidR="004279E7" w:rsidRPr="00C574FE">
        <w:t xml:space="preserve">as the </w:t>
      </w:r>
      <w:r w:rsidR="00B20717" w:rsidRPr="00C574FE">
        <w:t xml:space="preserve">pivotal </w:t>
      </w:r>
      <w:r w:rsidR="004279E7" w:rsidRPr="00C574FE">
        <w:t>issue was the low base rate of coarse-grain reports, not one of</w:t>
      </w:r>
      <w:r w:rsidR="00821FBC" w:rsidRPr="00C574FE">
        <w:t xml:space="preserve"> low statistical power.</w:t>
      </w:r>
    </w:p>
    <w:p w14:paraId="2F5D9DC7" w14:textId="528A88C6" w:rsidR="00B3060E" w:rsidRPr="00C574FE" w:rsidRDefault="00B3060E" w:rsidP="00B3060E">
      <w:pPr>
        <w:rPr>
          <w:rFonts w:eastAsia="Batang"/>
          <w:b/>
          <w:bCs/>
        </w:rPr>
      </w:pPr>
      <w:r w:rsidRPr="00C574FE">
        <w:rPr>
          <w:rFonts w:eastAsia="Batang"/>
          <w:b/>
          <w:bCs/>
        </w:rPr>
        <w:t>Coarse-Grain Reporting</w:t>
      </w:r>
    </w:p>
    <w:p w14:paraId="1395BD75" w14:textId="65689F45" w:rsidR="00543C86" w:rsidRPr="00C574FE" w:rsidRDefault="00E53DF0" w:rsidP="000F22D4">
      <w:pPr>
        <w:ind w:firstLine="426"/>
        <w:rPr>
          <w:rFonts w:eastAsia="Batang"/>
          <w:bCs/>
        </w:rPr>
      </w:pPr>
      <w:r w:rsidRPr="00C574FE">
        <w:rPr>
          <w:rFonts w:eastAsia="Batang"/>
          <w:bCs/>
        </w:rPr>
        <w:t xml:space="preserve">Table 1 shows the </w:t>
      </w:r>
      <w:r w:rsidR="00543C86" w:rsidRPr="00C574FE">
        <w:rPr>
          <w:rFonts w:eastAsia="Batang"/>
          <w:bCs/>
        </w:rPr>
        <w:t xml:space="preserve">total </w:t>
      </w:r>
      <w:r w:rsidRPr="00C574FE">
        <w:rPr>
          <w:rFonts w:eastAsia="Batang"/>
          <w:bCs/>
        </w:rPr>
        <w:t>number</w:t>
      </w:r>
      <w:r w:rsidR="00CF151E" w:rsidRPr="00C574FE">
        <w:rPr>
          <w:rFonts w:eastAsia="Batang"/>
          <w:bCs/>
        </w:rPr>
        <w:t xml:space="preserve"> and the number of accurate</w:t>
      </w:r>
      <w:r w:rsidRPr="00C574FE">
        <w:rPr>
          <w:rFonts w:eastAsia="Batang"/>
          <w:bCs/>
        </w:rPr>
        <w:t xml:space="preserve"> </w:t>
      </w:r>
      <w:r w:rsidR="00CF151E" w:rsidRPr="00C574FE">
        <w:rPr>
          <w:rFonts w:eastAsia="Batang"/>
          <w:bCs/>
        </w:rPr>
        <w:t xml:space="preserve">coarse-grain </w:t>
      </w:r>
      <w:r w:rsidR="00092EC1" w:rsidRPr="00C574FE">
        <w:rPr>
          <w:rFonts w:eastAsia="Batang"/>
          <w:bCs/>
        </w:rPr>
        <w:t>items</w:t>
      </w:r>
      <w:r w:rsidRPr="00C574FE">
        <w:rPr>
          <w:rFonts w:eastAsia="Batang"/>
          <w:bCs/>
        </w:rPr>
        <w:t xml:space="preserve"> reported</w:t>
      </w:r>
      <w:r w:rsidR="00543C86" w:rsidRPr="00C574FE">
        <w:rPr>
          <w:rFonts w:eastAsia="Batang"/>
          <w:bCs/>
        </w:rPr>
        <w:t xml:space="preserve"> </w:t>
      </w:r>
      <w:r w:rsidRPr="00C574FE">
        <w:rPr>
          <w:rFonts w:eastAsia="Batang"/>
          <w:bCs/>
        </w:rPr>
        <w:t xml:space="preserve">for each of the </w:t>
      </w:r>
      <w:r w:rsidR="00543C86" w:rsidRPr="00C574FE">
        <w:rPr>
          <w:rFonts w:eastAsia="Batang"/>
          <w:bCs/>
        </w:rPr>
        <w:t xml:space="preserve">immediate </w:t>
      </w:r>
      <w:r w:rsidRPr="00C574FE">
        <w:rPr>
          <w:rFonts w:eastAsia="Batang"/>
          <w:bCs/>
        </w:rPr>
        <w:t xml:space="preserve">interview conditions </w:t>
      </w:r>
      <w:r w:rsidR="00543C86" w:rsidRPr="00C574FE">
        <w:rPr>
          <w:rFonts w:eastAsia="Batang"/>
          <w:bCs/>
        </w:rPr>
        <w:t>used in Experiments 1-</w:t>
      </w:r>
      <w:r w:rsidR="009F1357" w:rsidRPr="00C574FE">
        <w:rPr>
          <w:rFonts w:eastAsia="Batang"/>
          <w:bCs/>
        </w:rPr>
        <w:t>3</w:t>
      </w:r>
      <w:r w:rsidRPr="00C574FE">
        <w:rPr>
          <w:rFonts w:eastAsia="Batang"/>
          <w:bCs/>
        </w:rPr>
        <w:t>.</w:t>
      </w:r>
      <w:r w:rsidR="003D3623" w:rsidRPr="00C574FE">
        <w:rPr>
          <w:rFonts w:eastAsia="Batang"/>
          <w:bCs/>
        </w:rPr>
        <w:t xml:space="preserve">  </w:t>
      </w:r>
      <w:r w:rsidR="006A3937" w:rsidRPr="00C574FE">
        <w:rPr>
          <w:rFonts w:eastAsia="Batang"/>
          <w:bCs/>
        </w:rPr>
        <w:t>Given the interdependence of fine and coarse grained responses</w:t>
      </w:r>
      <w:r w:rsidR="00AA1977" w:rsidRPr="00C574FE">
        <w:rPr>
          <w:rFonts w:eastAsia="Batang"/>
          <w:bCs/>
        </w:rPr>
        <w:t>,</w:t>
      </w:r>
      <w:r w:rsidR="006A3937" w:rsidRPr="00C574FE">
        <w:rPr>
          <w:rFonts w:eastAsia="Batang"/>
          <w:bCs/>
        </w:rPr>
        <w:t xml:space="preserve"> </w:t>
      </w:r>
      <w:r w:rsidR="0015340B" w:rsidRPr="00C574FE">
        <w:rPr>
          <w:rFonts w:eastAsia="Batang"/>
          <w:bCs/>
        </w:rPr>
        <w:t>all</w:t>
      </w:r>
      <w:r w:rsidR="006A3937" w:rsidRPr="00C574FE">
        <w:rPr>
          <w:rFonts w:eastAsia="Batang"/>
          <w:bCs/>
        </w:rPr>
        <w:t xml:space="preserve"> response patterns </w:t>
      </w:r>
      <w:r w:rsidR="0076673E" w:rsidRPr="00C574FE">
        <w:rPr>
          <w:rFonts w:eastAsia="Batang"/>
          <w:bCs/>
        </w:rPr>
        <w:t xml:space="preserve">(i.e., number coarse details, number fine details, number accurate coarse details, </w:t>
      </w:r>
      <w:r w:rsidR="007773BD" w:rsidRPr="00C574FE">
        <w:rPr>
          <w:rFonts w:eastAsia="Batang"/>
          <w:bCs/>
        </w:rPr>
        <w:t>etc.</w:t>
      </w:r>
      <w:r w:rsidR="0076673E" w:rsidRPr="00C574FE">
        <w:rPr>
          <w:rFonts w:eastAsia="Batang"/>
          <w:bCs/>
        </w:rPr>
        <w:t xml:space="preserve">) </w:t>
      </w:r>
      <w:r w:rsidR="006A3937" w:rsidRPr="00C574FE">
        <w:rPr>
          <w:rFonts w:eastAsia="Batang"/>
          <w:bCs/>
        </w:rPr>
        <w:t xml:space="preserve">for the different interview conditions were compared with </w:t>
      </w:r>
      <w:r w:rsidR="0076673E" w:rsidRPr="00C574FE">
        <w:rPr>
          <w:rFonts w:eastAsia="Batang"/>
          <w:bCs/>
        </w:rPr>
        <w:t>separate</w:t>
      </w:r>
      <w:r w:rsidR="006A3937" w:rsidRPr="00C574FE">
        <w:rPr>
          <w:rFonts w:eastAsia="Batang"/>
          <w:bCs/>
        </w:rPr>
        <w:t xml:space="preserve"> one-way ANOVAs.  The preferred response outputs that followed the forced report interview</w:t>
      </w:r>
      <w:r w:rsidR="00B20717" w:rsidRPr="00C574FE">
        <w:rPr>
          <w:rFonts w:eastAsia="Batang"/>
          <w:bCs/>
        </w:rPr>
        <w:t>’s soliciting of coarse- and fine-grain</w:t>
      </w:r>
      <w:r w:rsidR="006A3937" w:rsidRPr="00C574FE">
        <w:rPr>
          <w:rFonts w:eastAsia="Batang"/>
          <w:bCs/>
        </w:rPr>
        <w:t xml:space="preserve"> </w:t>
      </w:r>
      <w:r w:rsidR="00B20717" w:rsidRPr="00C574FE">
        <w:rPr>
          <w:rFonts w:eastAsia="Batang"/>
          <w:bCs/>
        </w:rPr>
        <w:t xml:space="preserve">responses </w:t>
      </w:r>
      <w:r w:rsidR="006A3937" w:rsidRPr="00C574FE">
        <w:rPr>
          <w:rFonts w:eastAsia="Batang"/>
          <w:bCs/>
        </w:rPr>
        <w:t xml:space="preserve">are also obviously not independent of the forced report data and </w:t>
      </w:r>
      <w:r w:rsidR="001159CA" w:rsidRPr="00C574FE">
        <w:rPr>
          <w:rFonts w:eastAsia="Batang"/>
          <w:bCs/>
        </w:rPr>
        <w:t xml:space="preserve">thus </w:t>
      </w:r>
      <w:r w:rsidR="00B20717" w:rsidRPr="00C574FE">
        <w:rPr>
          <w:rFonts w:eastAsia="Batang"/>
          <w:bCs/>
        </w:rPr>
        <w:t xml:space="preserve">need to be </w:t>
      </w:r>
      <w:r w:rsidR="006A3937" w:rsidRPr="00C574FE">
        <w:rPr>
          <w:rFonts w:eastAsia="Batang"/>
          <w:bCs/>
        </w:rPr>
        <w:t xml:space="preserve">interpreted </w:t>
      </w:r>
      <w:r w:rsidR="00642EA4" w:rsidRPr="00C574FE">
        <w:rPr>
          <w:rFonts w:eastAsia="Batang"/>
          <w:bCs/>
        </w:rPr>
        <w:t>in isolation</w:t>
      </w:r>
      <w:r w:rsidR="00DD181D" w:rsidRPr="00C574FE">
        <w:rPr>
          <w:rFonts w:eastAsia="Batang"/>
          <w:bCs/>
        </w:rPr>
        <w:t>, which we did</w:t>
      </w:r>
      <w:r w:rsidR="00642EA4" w:rsidRPr="00C574FE">
        <w:rPr>
          <w:rFonts w:eastAsia="Batang"/>
          <w:bCs/>
        </w:rPr>
        <w:t xml:space="preserve"> </w:t>
      </w:r>
      <w:r w:rsidR="006A3937" w:rsidRPr="00C574FE">
        <w:rPr>
          <w:rFonts w:eastAsia="Batang"/>
          <w:bCs/>
        </w:rPr>
        <w:t xml:space="preserve">by reference to the relevant </w:t>
      </w:r>
      <w:r w:rsidR="001159CA" w:rsidRPr="00C574FE">
        <w:rPr>
          <w:rFonts w:eastAsia="Batang"/>
          <w:bCs/>
        </w:rPr>
        <w:t xml:space="preserve">confidence interval </w:t>
      </w:r>
      <w:r w:rsidR="006A3937" w:rsidRPr="00C574FE">
        <w:rPr>
          <w:rFonts w:eastAsia="Batang"/>
          <w:bCs/>
        </w:rPr>
        <w:t>data.</w:t>
      </w:r>
      <w:r w:rsidR="00AF0BC8" w:rsidRPr="00C574FE">
        <w:rPr>
          <w:rFonts w:eastAsia="Batang"/>
          <w:bCs/>
        </w:rPr>
        <w:t xml:space="preserve">  </w:t>
      </w:r>
      <w:r w:rsidR="001159CA" w:rsidRPr="00C574FE">
        <w:rPr>
          <w:rFonts w:eastAsia="Batang"/>
          <w:bCs/>
        </w:rPr>
        <w:t>Three</w:t>
      </w:r>
      <w:r w:rsidR="00543C86" w:rsidRPr="00C574FE">
        <w:rPr>
          <w:rFonts w:eastAsia="Batang"/>
          <w:bCs/>
        </w:rPr>
        <w:t xml:space="preserve"> striking patterns emerged </w:t>
      </w:r>
      <w:r w:rsidR="00560ABA" w:rsidRPr="00C574FE">
        <w:rPr>
          <w:rFonts w:eastAsia="Batang"/>
          <w:bCs/>
        </w:rPr>
        <w:t xml:space="preserve">from </w:t>
      </w:r>
      <w:r w:rsidR="00543C86" w:rsidRPr="00C574FE">
        <w:rPr>
          <w:rFonts w:eastAsia="Batang"/>
          <w:bCs/>
        </w:rPr>
        <w:t xml:space="preserve">the </w:t>
      </w:r>
      <w:r w:rsidR="001159CA" w:rsidRPr="00C574FE">
        <w:rPr>
          <w:rFonts w:eastAsia="Batang"/>
          <w:bCs/>
        </w:rPr>
        <w:t xml:space="preserve">Table 1 </w:t>
      </w:r>
      <w:r w:rsidR="00543C86" w:rsidRPr="00C574FE">
        <w:rPr>
          <w:rFonts w:eastAsia="Batang"/>
          <w:bCs/>
        </w:rPr>
        <w:t xml:space="preserve">means and </w:t>
      </w:r>
      <w:r w:rsidR="00291374" w:rsidRPr="00C574FE">
        <w:rPr>
          <w:rFonts w:eastAsia="Batang"/>
          <w:bCs/>
        </w:rPr>
        <w:t>confidence intervals</w:t>
      </w:r>
      <w:r w:rsidR="00AD06DD" w:rsidRPr="00C574FE">
        <w:rPr>
          <w:rFonts w:eastAsia="Batang"/>
          <w:bCs/>
        </w:rPr>
        <w:t xml:space="preserve"> (CIs)</w:t>
      </w:r>
      <w:r w:rsidR="00291374" w:rsidRPr="00C574FE">
        <w:rPr>
          <w:rFonts w:eastAsia="Batang"/>
          <w:bCs/>
        </w:rPr>
        <w:t xml:space="preserve"> </w:t>
      </w:r>
      <w:r w:rsidR="001017D3" w:rsidRPr="00C574FE">
        <w:rPr>
          <w:rFonts w:eastAsia="Batang"/>
          <w:bCs/>
        </w:rPr>
        <w:t xml:space="preserve">for </w:t>
      </w:r>
      <w:r w:rsidR="00ED67FE" w:rsidRPr="00C574FE">
        <w:rPr>
          <w:rFonts w:eastAsia="Batang"/>
          <w:bCs/>
        </w:rPr>
        <w:t xml:space="preserve">both </w:t>
      </w:r>
      <w:r w:rsidR="001017D3" w:rsidRPr="00C574FE">
        <w:rPr>
          <w:rFonts w:eastAsia="Batang"/>
          <w:bCs/>
        </w:rPr>
        <w:t xml:space="preserve">the total </w:t>
      </w:r>
      <w:r w:rsidR="00ED67FE" w:rsidRPr="00C574FE">
        <w:rPr>
          <w:rFonts w:eastAsia="Batang"/>
          <w:bCs/>
        </w:rPr>
        <w:t xml:space="preserve">coarse-grain </w:t>
      </w:r>
      <w:r w:rsidR="001017D3" w:rsidRPr="00C574FE">
        <w:rPr>
          <w:rFonts w:eastAsia="Batang"/>
          <w:bCs/>
        </w:rPr>
        <w:t>items reported</w:t>
      </w:r>
      <w:r w:rsidR="00ED67FE" w:rsidRPr="00C574FE">
        <w:rPr>
          <w:rFonts w:eastAsia="Batang"/>
          <w:bCs/>
        </w:rPr>
        <w:t>,</w:t>
      </w:r>
      <w:r w:rsidR="001017D3" w:rsidRPr="00C574FE">
        <w:rPr>
          <w:rFonts w:eastAsia="Batang"/>
          <w:bCs/>
        </w:rPr>
        <w:t xml:space="preserve"> </w:t>
      </w:r>
      <w:r w:rsidR="00ED67FE" w:rsidRPr="00C574FE">
        <w:rPr>
          <w:rFonts w:eastAsia="Batang"/>
          <w:bCs/>
        </w:rPr>
        <w:t>and the number of accurate coarse-grain details reported</w:t>
      </w:r>
      <w:r w:rsidR="0076673E" w:rsidRPr="00C574FE">
        <w:rPr>
          <w:rFonts w:eastAsia="Batang"/>
          <w:bCs/>
        </w:rPr>
        <w:t xml:space="preserve">.  </w:t>
      </w:r>
      <w:r w:rsidR="00D77AE3" w:rsidRPr="00C574FE">
        <w:rPr>
          <w:rFonts w:eastAsia="Batang"/>
          <w:bCs/>
        </w:rPr>
        <w:t>The associated i</w:t>
      </w:r>
      <w:r w:rsidR="0076673E" w:rsidRPr="00C574FE">
        <w:rPr>
          <w:rFonts w:eastAsia="Batang"/>
          <w:bCs/>
        </w:rPr>
        <w:t xml:space="preserve">nferential </w:t>
      </w:r>
      <w:r w:rsidR="00543C86" w:rsidRPr="00C574FE">
        <w:rPr>
          <w:rFonts w:eastAsia="Batang"/>
          <w:bCs/>
        </w:rPr>
        <w:t>statistical</w:t>
      </w:r>
      <w:r w:rsidR="00D77AE3" w:rsidRPr="00C574FE">
        <w:rPr>
          <w:rFonts w:eastAsia="Batang"/>
          <w:bCs/>
        </w:rPr>
        <w:t xml:space="preserve"> information highlights the extremely large effect sizes and appears in </w:t>
      </w:r>
      <w:r w:rsidR="007C6785" w:rsidRPr="00C574FE">
        <w:rPr>
          <w:rFonts w:eastAsia="Batang"/>
          <w:bCs/>
        </w:rPr>
        <w:t xml:space="preserve">Table </w:t>
      </w:r>
      <w:r w:rsidR="006A3937" w:rsidRPr="00C574FE">
        <w:rPr>
          <w:rFonts w:eastAsia="Batang"/>
          <w:bCs/>
        </w:rPr>
        <w:t>1</w:t>
      </w:r>
      <w:r w:rsidR="007C6785" w:rsidRPr="00C574FE">
        <w:rPr>
          <w:rFonts w:eastAsia="Batang"/>
          <w:bCs/>
        </w:rPr>
        <w:t xml:space="preserve"> in Supplementary Materials</w:t>
      </w:r>
      <w:r w:rsidR="00783E45" w:rsidRPr="00C574FE">
        <w:rPr>
          <w:rFonts w:eastAsia="Batang"/>
          <w:bCs/>
        </w:rPr>
        <w:t xml:space="preserve"> (p.1</w:t>
      </w:r>
      <w:r w:rsidR="00EB5EE6" w:rsidRPr="00C574FE">
        <w:rPr>
          <w:rFonts w:eastAsia="Batang"/>
          <w:bCs/>
        </w:rPr>
        <w:t>2</w:t>
      </w:r>
      <w:r w:rsidR="00783E45" w:rsidRPr="00C574FE">
        <w:rPr>
          <w:rFonts w:eastAsia="Batang"/>
          <w:bCs/>
        </w:rPr>
        <w:t>)</w:t>
      </w:r>
      <w:r w:rsidR="00543C86" w:rsidRPr="00C574FE">
        <w:rPr>
          <w:rFonts w:eastAsia="Batang"/>
          <w:bCs/>
        </w:rPr>
        <w:t xml:space="preserve">.  First, compliance </w:t>
      </w:r>
      <w:r w:rsidR="00642EA4" w:rsidRPr="00C574FE">
        <w:rPr>
          <w:rFonts w:eastAsia="Batang"/>
          <w:bCs/>
        </w:rPr>
        <w:t xml:space="preserve">with the request to fully report </w:t>
      </w:r>
      <w:r w:rsidR="00560ABA" w:rsidRPr="00C574FE">
        <w:rPr>
          <w:rFonts w:eastAsia="Batang"/>
          <w:bCs/>
        </w:rPr>
        <w:t>under the grain size procedure w</w:t>
      </w:r>
      <w:r w:rsidR="009B2F9E" w:rsidRPr="00C574FE">
        <w:rPr>
          <w:rFonts w:eastAsia="Batang"/>
          <w:bCs/>
        </w:rPr>
        <w:t>as strong</w:t>
      </w:r>
      <w:r w:rsidR="00560ABA" w:rsidRPr="00C574FE">
        <w:rPr>
          <w:rFonts w:eastAsia="Batang"/>
          <w:bCs/>
        </w:rPr>
        <w:t>, with the t</w:t>
      </w:r>
      <w:r w:rsidR="00543C86" w:rsidRPr="00C574FE">
        <w:rPr>
          <w:rFonts w:eastAsia="Batang"/>
          <w:bCs/>
        </w:rPr>
        <w:t xml:space="preserve">otal number of items reported almost at the maximum in each experiment.  Second, </w:t>
      </w:r>
      <w:r w:rsidR="001017D3" w:rsidRPr="00C574FE">
        <w:rPr>
          <w:rFonts w:eastAsia="Batang"/>
          <w:bCs/>
        </w:rPr>
        <w:t>hardly any</w:t>
      </w:r>
      <w:r w:rsidR="00543C86" w:rsidRPr="00C574FE">
        <w:rPr>
          <w:rFonts w:eastAsia="Batang"/>
          <w:bCs/>
        </w:rPr>
        <w:t xml:space="preserve"> coarse-grain details were reported under any of the </w:t>
      </w:r>
      <w:r w:rsidR="008404AB" w:rsidRPr="00C574FE">
        <w:rPr>
          <w:rFonts w:eastAsia="Batang"/>
          <w:bCs/>
        </w:rPr>
        <w:t>open-ended</w:t>
      </w:r>
      <w:r w:rsidR="00543C86" w:rsidRPr="00C574FE">
        <w:rPr>
          <w:rFonts w:eastAsia="Batang"/>
          <w:bCs/>
        </w:rPr>
        <w:t xml:space="preserve"> conditions.  Third, the patterns of means and </w:t>
      </w:r>
      <w:r w:rsidR="00AD06DD" w:rsidRPr="00C574FE">
        <w:rPr>
          <w:rFonts w:eastAsia="Batang"/>
          <w:bCs/>
        </w:rPr>
        <w:t>CIs</w:t>
      </w:r>
      <w:r w:rsidR="00291374" w:rsidRPr="00C574FE">
        <w:rPr>
          <w:rFonts w:eastAsia="Batang"/>
          <w:bCs/>
        </w:rPr>
        <w:t xml:space="preserve"> </w:t>
      </w:r>
      <w:r w:rsidR="00543C86" w:rsidRPr="00C574FE">
        <w:rPr>
          <w:rFonts w:eastAsia="Batang"/>
          <w:bCs/>
        </w:rPr>
        <w:t xml:space="preserve">indicate very similar patterns across conditions for coarse-grain responses when participants </w:t>
      </w:r>
      <w:r w:rsidR="002C747D" w:rsidRPr="00C574FE">
        <w:rPr>
          <w:rFonts w:eastAsia="Batang"/>
          <w:bCs/>
        </w:rPr>
        <w:t xml:space="preserve">were </w:t>
      </w:r>
      <w:r w:rsidR="00642EA4" w:rsidRPr="00C574FE">
        <w:rPr>
          <w:rFonts w:eastAsia="Batang"/>
          <w:bCs/>
        </w:rPr>
        <w:t xml:space="preserve">exhorted </w:t>
      </w:r>
      <w:r w:rsidR="002C747D" w:rsidRPr="00C574FE">
        <w:rPr>
          <w:rFonts w:eastAsia="Batang"/>
          <w:bCs/>
        </w:rPr>
        <w:t xml:space="preserve">to </w:t>
      </w:r>
      <w:r w:rsidR="00543C86" w:rsidRPr="00C574FE">
        <w:rPr>
          <w:rFonts w:eastAsia="Batang"/>
          <w:bCs/>
        </w:rPr>
        <w:t>volunteer their preferred response from the coarse- and fine-grain options.</w:t>
      </w:r>
      <w:r w:rsidR="00082A9B" w:rsidRPr="00C574FE">
        <w:rPr>
          <w:rFonts w:eastAsia="Batang"/>
          <w:bCs/>
        </w:rPr>
        <w:t xml:space="preserve"> </w:t>
      </w:r>
      <w:r w:rsidR="00FA4C5A" w:rsidRPr="00C574FE">
        <w:rPr>
          <w:rFonts w:eastAsia="Batang"/>
          <w:bCs/>
        </w:rPr>
        <w:t xml:space="preserve"> </w:t>
      </w:r>
    </w:p>
    <w:p w14:paraId="23ADBB9D" w14:textId="4973D4C7" w:rsidR="0060370C" w:rsidRPr="00C574FE" w:rsidRDefault="00AF0BC8" w:rsidP="005B35C2">
      <w:pPr>
        <w:ind w:firstLine="426"/>
        <w:rPr>
          <w:rFonts w:eastAsia="Batang"/>
          <w:bCs/>
        </w:rPr>
      </w:pPr>
      <w:r w:rsidRPr="00C574FE">
        <w:rPr>
          <w:rFonts w:eastAsia="Batang"/>
          <w:bCs/>
        </w:rPr>
        <w:t xml:space="preserve">The </w:t>
      </w:r>
      <w:r w:rsidR="001159CA" w:rsidRPr="00C574FE">
        <w:rPr>
          <w:rFonts w:eastAsia="Batang"/>
          <w:bCs/>
        </w:rPr>
        <w:t xml:space="preserve">comparative </w:t>
      </w:r>
      <w:r w:rsidRPr="00C574FE">
        <w:rPr>
          <w:rFonts w:eastAsia="Batang"/>
          <w:bCs/>
        </w:rPr>
        <w:t xml:space="preserve">patterns </w:t>
      </w:r>
      <w:r w:rsidR="001159CA" w:rsidRPr="00C574FE">
        <w:rPr>
          <w:rFonts w:eastAsia="Batang"/>
          <w:bCs/>
        </w:rPr>
        <w:t xml:space="preserve">across interview formats </w:t>
      </w:r>
      <w:r w:rsidRPr="00C574FE">
        <w:rPr>
          <w:rFonts w:eastAsia="Batang"/>
          <w:bCs/>
        </w:rPr>
        <w:t xml:space="preserve">were </w:t>
      </w:r>
      <w:r w:rsidR="001159CA" w:rsidRPr="00C574FE">
        <w:rPr>
          <w:rFonts w:eastAsia="Batang"/>
          <w:bCs/>
        </w:rPr>
        <w:t xml:space="preserve">also </w:t>
      </w:r>
      <w:r w:rsidRPr="00C574FE">
        <w:rPr>
          <w:rFonts w:eastAsia="Batang"/>
          <w:bCs/>
        </w:rPr>
        <w:t>very similar for the numb</w:t>
      </w:r>
      <w:r w:rsidR="00ED67FE" w:rsidRPr="00C574FE">
        <w:rPr>
          <w:rFonts w:eastAsia="Batang"/>
          <w:bCs/>
        </w:rPr>
        <w:t>er of accurate details reported</w:t>
      </w:r>
      <w:r w:rsidRPr="00C574FE">
        <w:rPr>
          <w:rFonts w:eastAsia="Batang"/>
          <w:bCs/>
        </w:rPr>
        <w:t xml:space="preserve">, with the grain size procedure producing reporting of a large number of accurate coarse-grain details.  </w:t>
      </w:r>
      <w:r w:rsidR="00125C0E" w:rsidRPr="00C574FE">
        <w:rPr>
          <w:rFonts w:eastAsia="Batang"/>
          <w:bCs/>
        </w:rPr>
        <w:t xml:space="preserve">Moreover, </w:t>
      </w:r>
      <w:r w:rsidR="00DD181D" w:rsidRPr="00C574FE">
        <w:rPr>
          <w:rFonts w:eastAsia="Batang"/>
          <w:bCs/>
        </w:rPr>
        <w:t xml:space="preserve">it was apparent that </w:t>
      </w:r>
      <w:r w:rsidR="00125C0E" w:rsidRPr="00C574FE">
        <w:rPr>
          <w:rFonts w:eastAsia="Batang"/>
          <w:bCs/>
        </w:rPr>
        <w:t xml:space="preserve">the negligible reporting of accurate coarse-grain items under </w:t>
      </w:r>
      <w:r w:rsidR="008404AB" w:rsidRPr="00C574FE">
        <w:rPr>
          <w:rFonts w:eastAsia="Batang"/>
          <w:bCs/>
        </w:rPr>
        <w:t>open-ended</w:t>
      </w:r>
      <w:r w:rsidR="00125C0E" w:rsidRPr="00C574FE">
        <w:rPr>
          <w:rFonts w:eastAsia="Batang"/>
          <w:bCs/>
        </w:rPr>
        <w:t xml:space="preserve"> conditions was </w:t>
      </w:r>
      <w:r w:rsidR="001159CA" w:rsidRPr="00C574FE">
        <w:rPr>
          <w:rFonts w:eastAsia="Batang"/>
          <w:bCs/>
        </w:rPr>
        <w:t xml:space="preserve">clearly </w:t>
      </w:r>
      <w:r w:rsidR="00125C0E" w:rsidRPr="00C574FE">
        <w:rPr>
          <w:rFonts w:eastAsia="Batang"/>
          <w:bCs/>
        </w:rPr>
        <w:t xml:space="preserve">not due to very high frequencies of accurate fine-grain reporting instead.  As shown in Table </w:t>
      </w:r>
      <w:r w:rsidR="00783845" w:rsidRPr="00C574FE">
        <w:rPr>
          <w:rFonts w:eastAsia="Batang"/>
          <w:bCs/>
        </w:rPr>
        <w:t>2</w:t>
      </w:r>
      <w:r w:rsidR="00125C0E" w:rsidRPr="00C574FE">
        <w:rPr>
          <w:rFonts w:eastAsia="Batang"/>
          <w:bCs/>
        </w:rPr>
        <w:t xml:space="preserve">, </w:t>
      </w:r>
      <w:r w:rsidR="007B3F97" w:rsidRPr="00C574FE">
        <w:rPr>
          <w:rFonts w:eastAsia="Batang"/>
          <w:bCs/>
        </w:rPr>
        <w:t>i</w:t>
      </w:r>
      <w:r w:rsidR="00125C0E" w:rsidRPr="00C574FE">
        <w:rPr>
          <w:rFonts w:eastAsia="Batang"/>
          <w:bCs/>
        </w:rPr>
        <w:t xml:space="preserve">n all experiments the overall mean number of accurate (coarse- and fine- grain combined) details was at least five times higher under forced report than </w:t>
      </w:r>
      <w:r w:rsidR="008404AB" w:rsidRPr="00C574FE">
        <w:rPr>
          <w:rFonts w:eastAsia="Batang"/>
          <w:bCs/>
        </w:rPr>
        <w:t>under open-ended</w:t>
      </w:r>
      <w:r w:rsidR="00125C0E" w:rsidRPr="00C574FE">
        <w:rPr>
          <w:rFonts w:eastAsia="Batang"/>
          <w:bCs/>
        </w:rPr>
        <w:t xml:space="preserve"> conditions.  </w:t>
      </w:r>
      <w:r w:rsidR="00E13584" w:rsidRPr="00C574FE">
        <w:rPr>
          <w:rFonts w:eastAsia="Batang"/>
          <w:bCs/>
        </w:rPr>
        <w:t xml:space="preserve">There was also no </w:t>
      </w:r>
      <w:r w:rsidR="0060370C" w:rsidRPr="00C574FE">
        <w:rPr>
          <w:rFonts w:eastAsia="Batang"/>
          <w:bCs/>
        </w:rPr>
        <w:t xml:space="preserve">decisive </w:t>
      </w:r>
      <w:r w:rsidR="00E13584" w:rsidRPr="00C574FE">
        <w:rPr>
          <w:rFonts w:eastAsia="Batang"/>
          <w:bCs/>
        </w:rPr>
        <w:t xml:space="preserve">evidence </w:t>
      </w:r>
      <w:r w:rsidR="00DE28FB" w:rsidRPr="00C574FE">
        <w:rPr>
          <w:rFonts w:eastAsia="Batang"/>
          <w:bCs/>
        </w:rPr>
        <w:t xml:space="preserve">to suggest that </w:t>
      </w:r>
      <w:r w:rsidR="00F04178" w:rsidRPr="00C574FE">
        <w:rPr>
          <w:rFonts w:eastAsia="Batang"/>
          <w:bCs/>
        </w:rPr>
        <w:t xml:space="preserve">accuracy (i.e., proportion correct) declined </w:t>
      </w:r>
      <w:r w:rsidR="00062290" w:rsidRPr="00C574FE">
        <w:t>relative to accuracy of similar detail reported in</w:t>
      </w:r>
      <w:r w:rsidR="00F04178" w:rsidRPr="00C574FE">
        <w:rPr>
          <w:rFonts w:eastAsia="Batang"/>
          <w:bCs/>
        </w:rPr>
        <w:t xml:space="preserve"> the </w:t>
      </w:r>
      <w:r w:rsidR="008404AB" w:rsidRPr="00C574FE">
        <w:rPr>
          <w:rFonts w:eastAsia="Batang"/>
          <w:bCs/>
        </w:rPr>
        <w:t>open-ended</w:t>
      </w:r>
      <w:r w:rsidR="00F04178" w:rsidRPr="00C574FE">
        <w:rPr>
          <w:rFonts w:eastAsia="Batang"/>
          <w:bCs/>
        </w:rPr>
        <w:t xml:space="preserve"> conditions</w:t>
      </w:r>
      <w:r w:rsidR="0060370C" w:rsidRPr="00C574FE">
        <w:rPr>
          <w:rFonts w:eastAsia="Batang"/>
          <w:bCs/>
        </w:rPr>
        <w:t xml:space="preserve"> (see Table 2 for descriptive statistics)</w:t>
      </w:r>
      <w:r w:rsidR="00F04178" w:rsidRPr="00C574FE">
        <w:rPr>
          <w:rFonts w:eastAsia="Batang"/>
          <w:bCs/>
        </w:rPr>
        <w:t xml:space="preserve">.  </w:t>
      </w:r>
      <w:r w:rsidR="0060370C" w:rsidRPr="00C574FE">
        <w:rPr>
          <w:rFonts w:eastAsia="Batang"/>
          <w:bCs/>
        </w:rPr>
        <w:t xml:space="preserve">Although inspection of the proportion correct data suggests possible accuracy variations across interview conditions, with </w:t>
      </w:r>
      <w:r w:rsidR="00ED67FE" w:rsidRPr="00C574FE">
        <w:rPr>
          <w:rFonts w:eastAsia="Batang"/>
          <w:bCs/>
        </w:rPr>
        <w:t>so few</w:t>
      </w:r>
      <w:r w:rsidR="0060370C" w:rsidRPr="00C574FE">
        <w:rPr>
          <w:rFonts w:eastAsia="Batang"/>
          <w:bCs/>
        </w:rPr>
        <w:t xml:space="preserve"> participants reporting any coarse-grain details under open-ended conditions inferential statistical comparisons are not meaningful.  </w:t>
      </w:r>
    </w:p>
    <w:p w14:paraId="620D22B9" w14:textId="056D4364" w:rsidR="001159CA" w:rsidRPr="00C574FE" w:rsidRDefault="002F16AF" w:rsidP="005B35C2">
      <w:pPr>
        <w:ind w:firstLine="426"/>
        <w:rPr>
          <w:rFonts w:eastAsia="Batang"/>
          <w:bCs/>
        </w:rPr>
      </w:pPr>
      <w:r w:rsidRPr="00C574FE">
        <w:rPr>
          <w:rFonts w:eastAsia="Batang"/>
          <w:bCs/>
        </w:rPr>
        <w:t xml:space="preserve">In sum, in all samples the forced report procedure enhanced accurate coarse-grain reporting without accuracy being meaningfully undermined.  </w:t>
      </w:r>
      <w:r w:rsidR="00FF653F" w:rsidRPr="00C574FE">
        <w:rPr>
          <w:rFonts w:eastAsia="Batang"/>
          <w:bCs/>
        </w:rPr>
        <w:t>Also, when participants were forced to volunteer their preferred response from the coarse- and fine-grain options</w:t>
      </w:r>
      <w:r w:rsidR="00AD06DD" w:rsidRPr="00C574FE">
        <w:rPr>
          <w:rFonts w:eastAsia="Batang"/>
          <w:bCs/>
        </w:rPr>
        <w:t xml:space="preserve"> (i.e., Forced </w:t>
      </w:r>
      <w:r w:rsidR="00270581" w:rsidRPr="00C574FE">
        <w:rPr>
          <w:rFonts w:eastAsia="Batang"/>
          <w:bCs/>
        </w:rPr>
        <w:t>r</w:t>
      </w:r>
      <w:r w:rsidR="00AD06DD" w:rsidRPr="00C574FE">
        <w:rPr>
          <w:rFonts w:eastAsia="Batang"/>
          <w:bCs/>
        </w:rPr>
        <w:t>eport: Preferred)</w:t>
      </w:r>
      <w:r w:rsidR="00FF653F" w:rsidRPr="00C574FE">
        <w:rPr>
          <w:rFonts w:eastAsia="Batang"/>
          <w:bCs/>
        </w:rPr>
        <w:t>, the c</w:t>
      </w:r>
      <w:r w:rsidR="005B35C2" w:rsidRPr="00C574FE">
        <w:rPr>
          <w:rFonts w:eastAsia="Batang"/>
          <w:bCs/>
        </w:rPr>
        <w:t xml:space="preserve">oarse-grain reporting patterns were similar </w:t>
      </w:r>
      <w:r w:rsidR="00FF653F" w:rsidRPr="00C574FE">
        <w:rPr>
          <w:rFonts w:eastAsia="Batang"/>
          <w:bCs/>
        </w:rPr>
        <w:t xml:space="preserve">to those under </w:t>
      </w:r>
      <w:r w:rsidR="00270581" w:rsidRPr="00C574FE">
        <w:rPr>
          <w:rFonts w:eastAsia="Batang"/>
          <w:bCs/>
        </w:rPr>
        <w:t xml:space="preserve">the initial </w:t>
      </w:r>
      <w:r w:rsidR="00FF653F" w:rsidRPr="00C574FE">
        <w:rPr>
          <w:rFonts w:eastAsia="Batang"/>
          <w:bCs/>
        </w:rPr>
        <w:t>forced report</w:t>
      </w:r>
      <w:r w:rsidRPr="00C574FE">
        <w:rPr>
          <w:rFonts w:eastAsia="Batang"/>
          <w:bCs/>
        </w:rPr>
        <w:t>.</w:t>
      </w:r>
      <w:r w:rsidR="001159CA" w:rsidRPr="00C574FE">
        <w:rPr>
          <w:rFonts w:eastAsia="Batang"/>
          <w:bCs/>
        </w:rPr>
        <w:t xml:space="preserve">  Finally, the patterns of coarse-grain reporting on all measures were quite similar for the </w:t>
      </w:r>
      <w:r w:rsidR="0065609D" w:rsidRPr="00C574FE">
        <w:rPr>
          <w:rFonts w:eastAsia="Batang"/>
          <w:bCs/>
        </w:rPr>
        <w:t xml:space="preserve">adapted </w:t>
      </w:r>
      <w:r w:rsidR="001159CA" w:rsidRPr="00C574FE">
        <w:rPr>
          <w:rFonts w:eastAsia="Batang"/>
          <w:bCs/>
        </w:rPr>
        <w:t>SAI</w:t>
      </w:r>
      <w:r w:rsidR="00FF653F" w:rsidRPr="00C574FE">
        <w:rPr>
          <w:vertAlign w:val="superscript"/>
        </w:rPr>
        <w:t>©</w:t>
      </w:r>
      <w:r w:rsidR="001159CA" w:rsidRPr="00C574FE">
        <w:rPr>
          <w:rFonts w:eastAsia="Batang"/>
          <w:bCs/>
        </w:rPr>
        <w:t xml:space="preserve"> and the other </w:t>
      </w:r>
      <w:r w:rsidR="008404AB" w:rsidRPr="00C574FE">
        <w:rPr>
          <w:rFonts w:eastAsia="Batang"/>
          <w:bCs/>
        </w:rPr>
        <w:t>open-ended</w:t>
      </w:r>
      <w:r w:rsidR="001159CA" w:rsidRPr="00C574FE">
        <w:rPr>
          <w:rFonts w:eastAsia="Batang"/>
          <w:bCs/>
        </w:rPr>
        <w:t xml:space="preserve"> procedures.</w:t>
      </w:r>
      <w:r w:rsidR="00E548DC" w:rsidRPr="00C574FE">
        <w:rPr>
          <w:rFonts w:eastAsia="Batang"/>
          <w:bCs/>
        </w:rPr>
        <w:t xml:space="preserve">  </w:t>
      </w:r>
    </w:p>
    <w:p w14:paraId="05E9946B" w14:textId="3D6250F7" w:rsidR="00B3060E" w:rsidRPr="00C574FE" w:rsidRDefault="00B3060E" w:rsidP="00B3060E">
      <w:pPr>
        <w:rPr>
          <w:rFonts w:eastAsia="Batang"/>
          <w:b/>
          <w:bCs/>
        </w:rPr>
      </w:pPr>
      <w:r w:rsidRPr="00C574FE">
        <w:rPr>
          <w:rFonts w:eastAsia="Batang"/>
          <w:b/>
          <w:bCs/>
        </w:rPr>
        <w:t>Fine-Grain Reporting</w:t>
      </w:r>
    </w:p>
    <w:p w14:paraId="2CFA0EEA" w14:textId="3DAAFDED" w:rsidR="000E2BA0" w:rsidRPr="00C574FE" w:rsidRDefault="00E04821" w:rsidP="000F22D4">
      <w:pPr>
        <w:ind w:firstLine="426"/>
        <w:rPr>
          <w:rFonts w:eastAsia="Batang"/>
          <w:bCs/>
        </w:rPr>
      </w:pPr>
      <w:r w:rsidRPr="00C574FE">
        <w:rPr>
          <w:rFonts w:eastAsia="Batang"/>
          <w:bCs/>
        </w:rPr>
        <w:t xml:space="preserve">For fine-grain responses, </w:t>
      </w:r>
      <w:r w:rsidR="000E2BA0" w:rsidRPr="00C574FE">
        <w:rPr>
          <w:rFonts w:eastAsia="Batang"/>
          <w:bCs/>
        </w:rPr>
        <w:t xml:space="preserve">the </w:t>
      </w:r>
      <w:r w:rsidR="00FF653F" w:rsidRPr="00C574FE">
        <w:rPr>
          <w:rFonts w:eastAsia="Batang"/>
          <w:bCs/>
        </w:rPr>
        <w:t>confidence interval</w:t>
      </w:r>
      <w:r w:rsidR="000E2BA0" w:rsidRPr="00C574FE">
        <w:rPr>
          <w:rFonts w:eastAsia="Batang"/>
          <w:bCs/>
        </w:rPr>
        <w:t xml:space="preserve"> data again clearly highlight the markedly higher outputs under </w:t>
      </w:r>
      <w:r w:rsidR="00980E5D" w:rsidRPr="00C574FE">
        <w:rPr>
          <w:rFonts w:eastAsia="Batang"/>
          <w:bCs/>
        </w:rPr>
        <w:t xml:space="preserve">the forced report procedure </w:t>
      </w:r>
      <w:r w:rsidR="000E2BA0" w:rsidRPr="00C574FE">
        <w:rPr>
          <w:rFonts w:eastAsia="Batang"/>
          <w:bCs/>
        </w:rPr>
        <w:t xml:space="preserve">which </w:t>
      </w:r>
      <w:r w:rsidR="00980E5D" w:rsidRPr="00C574FE">
        <w:rPr>
          <w:rFonts w:eastAsia="Batang"/>
          <w:bCs/>
        </w:rPr>
        <w:t xml:space="preserve">produced </w:t>
      </w:r>
      <w:r w:rsidR="000E2BA0" w:rsidRPr="00C574FE">
        <w:rPr>
          <w:rFonts w:eastAsia="Batang"/>
          <w:bCs/>
        </w:rPr>
        <w:t xml:space="preserve">two to three times as many accurate items as </w:t>
      </w:r>
      <w:r w:rsidR="004B47C1" w:rsidRPr="00C574FE">
        <w:rPr>
          <w:rFonts w:eastAsia="Batang"/>
          <w:bCs/>
        </w:rPr>
        <w:t xml:space="preserve">the </w:t>
      </w:r>
      <w:r w:rsidR="008404AB" w:rsidRPr="00C574FE">
        <w:rPr>
          <w:rFonts w:eastAsia="Batang"/>
          <w:bCs/>
        </w:rPr>
        <w:t>open-ended</w:t>
      </w:r>
      <w:r w:rsidR="004B47C1" w:rsidRPr="00C574FE">
        <w:rPr>
          <w:rFonts w:eastAsia="Batang"/>
          <w:bCs/>
        </w:rPr>
        <w:t xml:space="preserve"> conditions (see </w:t>
      </w:r>
      <w:r w:rsidR="000E2BA0" w:rsidRPr="00C574FE">
        <w:rPr>
          <w:rFonts w:eastAsia="Batang"/>
          <w:bCs/>
        </w:rPr>
        <w:t>Supplementary Materials T</w:t>
      </w:r>
      <w:r w:rsidR="004B47C1" w:rsidRPr="00C574FE">
        <w:rPr>
          <w:rFonts w:eastAsia="Batang"/>
          <w:bCs/>
        </w:rPr>
        <w:t xml:space="preserve">ables </w:t>
      </w:r>
      <w:r w:rsidR="005E1FD5" w:rsidRPr="00C574FE">
        <w:rPr>
          <w:rFonts w:eastAsia="Batang"/>
          <w:bCs/>
        </w:rPr>
        <w:t>2</w:t>
      </w:r>
      <w:r w:rsidR="000E2BA0" w:rsidRPr="00C574FE">
        <w:rPr>
          <w:rFonts w:eastAsia="Batang"/>
          <w:bCs/>
        </w:rPr>
        <w:t xml:space="preserve"> and </w:t>
      </w:r>
      <w:r w:rsidR="005E1FD5" w:rsidRPr="00C574FE">
        <w:rPr>
          <w:rFonts w:eastAsia="Batang"/>
          <w:bCs/>
        </w:rPr>
        <w:t>3</w:t>
      </w:r>
      <w:r w:rsidR="00783E45" w:rsidRPr="00C574FE">
        <w:rPr>
          <w:rFonts w:eastAsia="Batang"/>
          <w:bCs/>
        </w:rPr>
        <w:t>, pp.1</w:t>
      </w:r>
      <w:r w:rsidR="007847E5" w:rsidRPr="00C574FE">
        <w:rPr>
          <w:rFonts w:eastAsia="Batang"/>
          <w:bCs/>
        </w:rPr>
        <w:t>3-14</w:t>
      </w:r>
      <w:r w:rsidR="000E2BA0" w:rsidRPr="00C574FE">
        <w:rPr>
          <w:rFonts w:eastAsia="Batang"/>
          <w:bCs/>
        </w:rPr>
        <w:t xml:space="preserve">).  Not surprisingly, however, accuracy declined substantially </w:t>
      </w:r>
      <w:r w:rsidR="00980E5D" w:rsidRPr="00C574FE">
        <w:rPr>
          <w:rFonts w:eastAsia="Batang"/>
          <w:bCs/>
        </w:rPr>
        <w:t xml:space="preserve">relative to the </w:t>
      </w:r>
      <w:r w:rsidR="008404AB" w:rsidRPr="00C574FE">
        <w:rPr>
          <w:rFonts w:eastAsia="Batang"/>
          <w:bCs/>
        </w:rPr>
        <w:t>open-ended</w:t>
      </w:r>
      <w:r w:rsidR="00980E5D" w:rsidRPr="00C574FE">
        <w:rPr>
          <w:rFonts w:eastAsia="Batang"/>
          <w:bCs/>
        </w:rPr>
        <w:t xml:space="preserve"> conditions</w:t>
      </w:r>
      <w:r w:rsidR="00B7375F" w:rsidRPr="00C574FE">
        <w:rPr>
          <w:rFonts w:eastAsia="Batang"/>
          <w:bCs/>
        </w:rPr>
        <w:t xml:space="preserve"> (see Table </w:t>
      </w:r>
      <w:r w:rsidR="005E1FD5" w:rsidRPr="00C574FE">
        <w:rPr>
          <w:rFonts w:eastAsia="Batang"/>
          <w:bCs/>
        </w:rPr>
        <w:t>3</w:t>
      </w:r>
      <w:r w:rsidR="00B9352B" w:rsidRPr="00C574FE">
        <w:rPr>
          <w:rFonts w:eastAsia="Batang"/>
          <w:bCs/>
        </w:rPr>
        <w:t>, main manuscript</w:t>
      </w:r>
      <w:r w:rsidR="00B7375F" w:rsidRPr="00C574FE">
        <w:rPr>
          <w:rFonts w:eastAsia="Batang"/>
          <w:bCs/>
        </w:rPr>
        <w:t xml:space="preserve">).  </w:t>
      </w:r>
      <w:r w:rsidR="00E548DC" w:rsidRPr="00C574FE">
        <w:rPr>
          <w:rFonts w:eastAsia="Batang"/>
          <w:bCs/>
        </w:rPr>
        <w:t xml:space="preserve">As </w:t>
      </w:r>
      <w:r w:rsidR="00B9352B" w:rsidRPr="00C574FE">
        <w:rPr>
          <w:rFonts w:eastAsia="Batang"/>
          <w:bCs/>
        </w:rPr>
        <w:t xml:space="preserve">was the case </w:t>
      </w:r>
      <w:r w:rsidR="00E548DC" w:rsidRPr="00C574FE">
        <w:rPr>
          <w:rFonts w:eastAsia="Batang"/>
          <w:bCs/>
        </w:rPr>
        <w:t xml:space="preserve">for coarse-grain reporting, the data in Table </w:t>
      </w:r>
      <w:r w:rsidR="005E1FD5" w:rsidRPr="00C574FE">
        <w:rPr>
          <w:rFonts w:eastAsia="Batang"/>
          <w:bCs/>
        </w:rPr>
        <w:t xml:space="preserve">3 </w:t>
      </w:r>
      <w:r w:rsidR="00E548DC" w:rsidRPr="00C574FE">
        <w:rPr>
          <w:rFonts w:eastAsia="Batang"/>
          <w:bCs/>
        </w:rPr>
        <w:t xml:space="preserve">do not point to any </w:t>
      </w:r>
      <w:r w:rsidR="00E62392" w:rsidRPr="00C574FE">
        <w:rPr>
          <w:rFonts w:eastAsia="Batang"/>
          <w:bCs/>
        </w:rPr>
        <w:t xml:space="preserve">obvious </w:t>
      </w:r>
      <w:r w:rsidR="00E548DC" w:rsidRPr="00C574FE">
        <w:rPr>
          <w:rFonts w:eastAsia="Batang"/>
          <w:bCs/>
        </w:rPr>
        <w:t xml:space="preserve">advantage in accuracy </w:t>
      </w:r>
      <w:r w:rsidR="00270581" w:rsidRPr="00C574FE">
        <w:rPr>
          <w:rFonts w:eastAsia="Batang"/>
          <w:bCs/>
        </w:rPr>
        <w:t xml:space="preserve">for any of the </w:t>
      </w:r>
      <w:r w:rsidR="008404AB" w:rsidRPr="00C574FE">
        <w:rPr>
          <w:rFonts w:eastAsia="Batang"/>
          <w:bCs/>
        </w:rPr>
        <w:t>open-ended</w:t>
      </w:r>
      <w:r w:rsidR="00270581" w:rsidRPr="00C574FE">
        <w:rPr>
          <w:rFonts w:eastAsia="Batang"/>
          <w:bCs/>
        </w:rPr>
        <w:t xml:space="preserve"> procedures when compared to the others</w:t>
      </w:r>
      <w:r w:rsidR="00E548DC" w:rsidRPr="00C574FE">
        <w:rPr>
          <w:rFonts w:eastAsia="Batang"/>
          <w:bCs/>
        </w:rPr>
        <w:t>.</w:t>
      </w:r>
    </w:p>
    <w:p w14:paraId="5DD0A4A4" w14:textId="36B2C20D" w:rsidR="00B3060E" w:rsidRPr="00C574FE" w:rsidRDefault="00B3060E" w:rsidP="00B3060E">
      <w:pPr>
        <w:rPr>
          <w:rFonts w:eastAsia="Batang"/>
          <w:b/>
          <w:bCs/>
        </w:rPr>
      </w:pPr>
      <w:r w:rsidRPr="00C574FE">
        <w:rPr>
          <w:rFonts w:eastAsia="Batang"/>
          <w:b/>
          <w:bCs/>
        </w:rPr>
        <w:t>Confidence and Reporting Accuracy</w:t>
      </w:r>
    </w:p>
    <w:p w14:paraId="101AFC94" w14:textId="537F7E05" w:rsidR="00B573B3" w:rsidRPr="00C574FE" w:rsidRDefault="00B573B3" w:rsidP="000F22D4">
      <w:pPr>
        <w:ind w:firstLine="426"/>
      </w:pPr>
      <w:r w:rsidRPr="00C574FE">
        <w:rPr>
          <w:rFonts w:eastAsia="Batang"/>
          <w:bCs/>
        </w:rPr>
        <w:t>To examine whether confidence in reported items assist</w:t>
      </w:r>
      <w:r w:rsidR="00E33ED2" w:rsidRPr="00C574FE">
        <w:rPr>
          <w:rFonts w:eastAsia="Batang"/>
          <w:bCs/>
        </w:rPr>
        <w:t>ed</w:t>
      </w:r>
      <w:r w:rsidRPr="00C574FE">
        <w:rPr>
          <w:rFonts w:eastAsia="Batang"/>
          <w:bCs/>
        </w:rPr>
        <w:t xml:space="preserve"> in assessing th</w:t>
      </w:r>
      <w:r w:rsidR="00A572F2" w:rsidRPr="00C574FE">
        <w:rPr>
          <w:rFonts w:eastAsia="Batang"/>
          <w:bCs/>
        </w:rPr>
        <w:t>eir likely accuracy</w:t>
      </w:r>
      <w:r w:rsidR="00E33ED2" w:rsidRPr="00C574FE">
        <w:rPr>
          <w:rFonts w:eastAsia="Batang"/>
          <w:bCs/>
        </w:rPr>
        <w:t>,</w:t>
      </w:r>
      <w:r w:rsidR="00A572F2" w:rsidRPr="00C574FE">
        <w:rPr>
          <w:rFonts w:eastAsia="Batang"/>
          <w:bCs/>
        </w:rPr>
        <w:t xml:space="preserve"> we examined</w:t>
      </w:r>
      <w:r w:rsidRPr="00C574FE">
        <w:rPr>
          <w:rFonts w:eastAsia="Batang"/>
          <w:bCs/>
        </w:rPr>
        <w:t xml:space="preserve"> the number of accurate details and proportion correct for coarse-grain responses at or above each level of confidence</w:t>
      </w:r>
      <w:r w:rsidR="007847E5" w:rsidRPr="00C574FE">
        <w:rPr>
          <w:rFonts w:eastAsia="Batang"/>
          <w:bCs/>
        </w:rPr>
        <w:t xml:space="preserve"> for each e</w:t>
      </w:r>
      <w:r w:rsidR="00A572F2" w:rsidRPr="00C574FE">
        <w:rPr>
          <w:rFonts w:eastAsia="Batang"/>
          <w:bCs/>
        </w:rPr>
        <w:t>xperiment</w:t>
      </w:r>
      <w:r w:rsidRPr="00C574FE">
        <w:rPr>
          <w:rFonts w:eastAsia="Batang"/>
          <w:bCs/>
        </w:rPr>
        <w:t>.  We describe the major patterns here</w:t>
      </w:r>
      <w:r w:rsidR="00117859" w:rsidRPr="00C574FE">
        <w:rPr>
          <w:rFonts w:eastAsia="Batang"/>
          <w:bCs/>
        </w:rPr>
        <w:t>,</w:t>
      </w:r>
      <w:r w:rsidRPr="00C574FE">
        <w:rPr>
          <w:rFonts w:eastAsia="Batang"/>
          <w:bCs/>
        </w:rPr>
        <w:t xml:space="preserve"> </w:t>
      </w:r>
      <w:r w:rsidR="00117859" w:rsidRPr="00C574FE">
        <w:rPr>
          <w:rFonts w:eastAsia="Batang"/>
          <w:bCs/>
        </w:rPr>
        <w:t>but</w:t>
      </w:r>
      <w:r w:rsidR="00E33ED2" w:rsidRPr="00C574FE">
        <w:rPr>
          <w:rFonts w:eastAsia="Batang"/>
          <w:bCs/>
        </w:rPr>
        <w:t xml:space="preserve"> for </w:t>
      </w:r>
      <w:r w:rsidR="00F75A08" w:rsidRPr="00C574FE">
        <w:rPr>
          <w:rFonts w:eastAsia="Batang"/>
          <w:bCs/>
        </w:rPr>
        <w:t xml:space="preserve">economy of </w:t>
      </w:r>
      <w:r w:rsidR="00E33ED2" w:rsidRPr="00C574FE">
        <w:rPr>
          <w:rFonts w:eastAsia="Batang"/>
          <w:bCs/>
        </w:rPr>
        <w:t>illustrati</w:t>
      </w:r>
      <w:r w:rsidR="00F75A08" w:rsidRPr="00C574FE">
        <w:rPr>
          <w:rFonts w:eastAsia="Batang"/>
          <w:bCs/>
        </w:rPr>
        <w:t>on</w:t>
      </w:r>
      <w:r w:rsidR="00E33ED2" w:rsidRPr="00C574FE">
        <w:rPr>
          <w:rFonts w:eastAsia="Batang"/>
          <w:bCs/>
        </w:rPr>
        <w:t xml:space="preserve">, </w:t>
      </w:r>
      <w:r w:rsidRPr="00C574FE">
        <w:rPr>
          <w:rFonts w:eastAsia="Batang"/>
          <w:bCs/>
        </w:rPr>
        <w:t xml:space="preserve">provide </w:t>
      </w:r>
      <w:r w:rsidR="005E1FD5" w:rsidRPr="00C574FE">
        <w:rPr>
          <w:rFonts w:eastAsia="Batang"/>
          <w:bCs/>
        </w:rPr>
        <w:t xml:space="preserve">a </w:t>
      </w:r>
      <w:r w:rsidRPr="00C574FE">
        <w:rPr>
          <w:rFonts w:eastAsia="Batang"/>
          <w:bCs/>
        </w:rPr>
        <w:t xml:space="preserve">summary table for </w:t>
      </w:r>
      <w:r w:rsidR="00AC7BAB" w:rsidRPr="00C574FE">
        <w:rPr>
          <w:rFonts w:eastAsia="Batang"/>
          <w:bCs/>
        </w:rPr>
        <w:t>E</w:t>
      </w:r>
      <w:r w:rsidR="00A572F2" w:rsidRPr="00C574FE">
        <w:rPr>
          <w:rFonts w:eastAsia="Batang"/>
          <w:bCs/>
        </w:rPr>
        <w:t>xperiment</w:t>
      </w:r>
      <w:r w:rsidR="00AC7BAB" w:rsidRPr="00C574FE">
        <w:rPr>
          <w:rFonts w:eastAsia="Batang"/>
          <w:bCs/>
        </w:rPr>
        <w:t xml:space="preserve"> 2</w:t>
      </w:r>
      <w:r w:rsidR="005E1FD5" w:rsidRPr="00C574FE">
        <w:rPr>
          <w:rFonts w:eastAsia="Batang"/>
          <w:bCs/>
        </w:rPr>
        <w:t xml:space="preserve"> only (Table 4)</w:t>
      </w:r>
      <w:r w:rsidR="00966859" w:rsidRPr="00C574FE">
        <w:rPr>
          <w:rFonts w:eastAsia="Batang"/>
          <w:bCs/>
        </w:rPr>
        <w:t xml:space="preserve">.  </w:t>
      </w:r>
      <w:r w:rsidR="004541EE" w:rsidRPr="00C574FE">
        <w:rPr>
          <w:rFonts w:eastAsia="Batang"/>
          <w:bCs/>
        </w:rPr>
        <w:t>The corresponding table</w:t>
      </w:r>
      <w:r w:rsidR="005E1FD5" w:rsidRPr="00C574FE">
        <w:rPr>
          <w:rFonts w:eastAsia="Batang"/>
          <w:bCs/>
        </w:rPr>
        <w:t>s</w:t>
      </w:r>
      <w:r w:rsidR="004541EE" w:rsidRPr="00C574FE">
        <w:rPr>
          <w:rFonts w:eastAsia="Batang"/>
          <w:bCs/>
        </w:rPr>
        <w:t xml:space="preserve"> for Experiment</w:t>
      </w:r>
      <w:r w:rsidR="005E1FD5" w:rsidRPr="00C574FE">
        <w:rPr>
          <w:rFonts w:eastAsia="Batang"/>
          <w:bCs/>
        </w:rPr>
        <w:t>s</w:t>
      </w:r>
      <w:r w:rsidR="004541EE" w:rsidRPr="00C574FE">
        <w:rPr>
          <w:rFonts w:eastAsia="Batang"/>
          <w:bCs/>
        </w:rPr>
        <w:t xml:space="preserve"> 1 </w:t>
      </w:r>
      <w:r w:rsidR="005E1FD5" w:rsidRPr="00C574FE">
        <w:rPr>
          <w:rFonts w:eastAsia="Batang"/>
          <w:bCs/>
        </w:rPr>
        <w:t xml:space="preserve">and 3 </w:t>
      </w:r>
      <w:r w:rsidR="004541EE" w:rsidRPr="00C574FE">
        <w:rPr>
          <w:rFonts w:eastAsia="Batang"/>
          <w:bCs/>
        </w:rPr>
        <w:t>appear</w:t>
      </w:r>
      <w:r w:rsidR="00AC7BAB" w:rsidRPr="00C574FE">
        <w:rPr>
          <w:rFonts w:eastAsia="Batang"/>
          <w:bCs/>
        </w:rPr>
        <w:t xml:space="preserve"> as </w:t>
      </w:r>
      <w:r w:rsidR="004B6CD1" w:rsidRPr="00C574FE">
        <w:rPr>
          <w:rFonts w:eastAsia="Batang"/>
          <w:bCs/>
        </w:rPr>
        <w:t xml:space="preserve">Tables 4 and 5 in </w:t>
      </w:r>
      <w:r w:rsidR="00AC7BAB" w:rsidRPr="00C574FE">
        <w:rPr>
          <w:rFonts w:eastAsia="Batang"/>
          <w:bCs/>
        </w:rPr>
        <w:t xml:space="preserve">Supplementary </w:t>
      </w:r>
      <w:r w:rsidR="004B6CD1" w:rsidRPr="00C574FE">
        <w:rPr>
          <w:rFonts w:eastAsia="Batang"/>
          <w:bCs/>
        </w:rPr>
        <w:t xml:space="preserve">Materials </w:t>
      </w:r>
      <w:r w:rsidR="00783E45" w:rsidRPr="00C574FE">
        <w:rPr>
          <w:rFonts w:eastAsia="Batang"/>
          <w:bCs/>
        </w:rPr>
        <w:t>(pp.1</w:t>
      </w:r>
      <w:r w:rsidR="007847E5" w:rsidRPr="00C574FE">
        <w:rPr>
          <w:rFonts w:eastAsia="Batang"/>
          <w:bCs/>
        </w:rPr>
        <w:t>5-16</w:t>
      </w:r>
      <w:r w:rsidR="00783E45" w:rsidRPr="00C574FE">
        <w:rPr>
          <w:rFonts w:eastAsia="Batang"/>
          <w:bCs/>
        </w:rPr>
        <w:t>)</w:t>
      </w:r>
      <w:r w:rsidR="004541EE" w:rsidRPr="00C574FE">
        <w:rPr>
          <w:rFonts w:eastAsia="Batang"/>
          <w:bCs/>
        </w:rPr>
        <w:t xml:space="preserve">.  </w:t>
      </w:r>
      <w:r w:rsidR="00966859" w:rsidRPr="00C574FE">
        <w:rPr>
          <w:rFonts w:eastAsia="Batang"/>
          <w:bCs/>
        </w:rPr>
        <w:t xml:space="preserve">We have not reported inferential statistical </w:t>
      </w:r>
      <w:r w:rsidR="002B6A2E" w:rsidRPr="00C574FE">
        <w:rPr>
          <w:rFonts w:eastAsia="Batang"/>
          <w:bCs/>
        </w:rPr>
        <w:t xml:space="preserve">contrasts </w:t>
      </w:r>
      <w:r w:rsidRPr="00C574FE">
        <w:t xml:space="preserve">of coarse-grain accuracy at each level of (cumulative) confidence across the relevant immediate interview procedures </w:t>
      </w:r>
      <w:r w:rsidR="004541EE" w:rsidRPr="00C574FE">
        <w:t xml:space="preserve">because the overall number of </w:t>
      </w:r>
      <w:r w:rsidR="004B6CD1" w:rsidRPr="00C574FE">
        <w:t xml:space="preserve">coarse-grain </w:t>
      </w:r>
      <w:r w:rsidR="004541EE" w:rsidRPr="00C574FE">
        <w:t xml:space="preserve">observations produced under </w:t>
      </w:r>
      <w:r w:rsidR="008404AB" w:rsidRPr="00C574FE">
        <w:t xml:space="preserve">the </w:t>
      </w:r>
      <w:r w:rsidR="008404AB" w:rsidRPr="00C574FE">
        <w:rPr>
          <w:rFonts w:eastAsia="Batang"/>
          <w:bCs/>
        </w:rPr>
        <w:t>open-ended</w:t>
      </w:r>
      <w:r w:rsidR="004541EE" w:rsidRPr="00C574FE">
        <w:t xml:space="preserve"> conditions was so low</w:t>
      </w:r>
      <w:r w:rsidRPr="00C574FE">
        <w:t>.</w:t>
      </w:r>
      <w:r w:rsidR="00040686" w:rsidRPr="00C574FE">
        <w:t xml:space="preserve">  </w:t>
      </w:r>
    </w:p>
    <w:p w14:paraId="76587DDF" w14:textId="34A0B5E0" w:rsidR="00BF3258" w:rsidRPr="00C574FE" w:rsidRDefault="00117859" w:rsidP="00FD7522">
      <w:pPr>
        <w:ind w:firstLine="426"/>
      </w:pPr>
      <w:r w:rsidRPr="00C574FE">
        <w:t>Inspection of these tables for Experiments 1</w:t>
      </w:r>
      <w:r w:rsidR="0093330D" w:rsidRPr="00C574FE">
        <w:t xml:space="preserve"> and 2</w:t>
      </w:r>
      <w:r w:rsidR="00BF3258" w:rsidRPr="00C574FE">
        <w:t xml:space="preserve"> </w:t>
      </w:r>
      <w:r w:rsidR="0093330D" w:rsidRPr="00C574FE">
        <w:t xml:space="preserve">(i.e., written and verbal reports) reveals that coarse-grain </w:t>
      </w:r>
      <w:r w:rsidR="00BF3258" w:rsidRPr="00C574FE">
        <w:t xml:space="preserve">accuracy progressively </w:t>
      </w:r>
      <w:r w:rsidR="001265EF" w:rsidRPr="00C574FE">
        <w:t>increased</w:t>
      </w:r>
      <w:r w:rsidR="00BF3258" w:rsidRPr="00C574FE">
        <w:t xml:space="preserve"> </w:t>
      </w:r>
      <w:r w:rsidR="001265EF" w:rsidRPr="00C574FE">
        <w:t>as</w:t>
      </w:r>
      <w:r w:rsidR="00BF3258" w:rsidRPr="00C574FE">
        <w:t xml:space="preserve"> </w:t>
      </w:r>
      <w:r w:rsidR="001265EF" w:rsidRPr="00C574FE">
        <w:t xml:space="preserve">only </w:t>
      </w:r>
      <w:r w:rsidR="000F3F2C" w:rsidRPr="00C574FE">
        <w:t xml:space="preserve">those </w:t>
      </w:r>
      <w:r w:rsidR="00BF3258" w:rsidRPr="00C574FE">
        <w:t xml:space="preserve">items reported with increasingly </w:t>
      </w:r>
      <w:r w:rsidR="001265EF" w:rsidRPr="00C574FE">
        <w:t>higher</w:t>
      </w:r>
      <w:r w:rsidR="00BF3258" w:rsidRPr="00C574FE">
        <w:t xml:space="preserve"> levels of confidence were </w:t>
      </w:r>
      <w:r w:rsidR="001265EF" w:rsidRPr="00C574FE">
        <w:t>encompassed</w:t>
      </w:r>
      <w:r w:rsidR="00BF3258" w:rsidRPr="00C574FE">
        <w:t xml:space="preserve">.  Second, </w:t>
      </w:r>
      <w:r w:rsidR="00971E3B" w:rsidRPr="00C574FE">
        <w:rPr>
          <w:rFonts w:eastAsia="Batang"/>
          <w:bCs/>
        </w:rPr>
        <w:t xml:space="preserve">when confidence was very high (i.e., 90-100%), not only was the ratio of number of </w:t>
      </w:r>
      <w:r w:rsidR="008B07D9" w:rsidRPr="00C574FE">
        <w:rPr>
          <w:rFonts w:eastAsia="Batang"/>
          <w:bCs/>
        </w:rPr>
        <w:t>accurate</w:t>
      </w:r>
      <w:r w:rsidR="00971E3B" w:rsidRPr="00C574FE">
        <w:rPr>
          <w:rFonts w:eastAsia="Batang"/>
          <w:bCs/>
        </w:rPr>
        <w:t xml:space="preserve"> details reported for forced report versus </w:t>
      </w:r>
      <w:r w:rsidR="008404AB" w:rsidRPr="00C574FE">
        <w:rPr>
          <w:rFonts w:eastAsia="Batang"/>
          <w:bCs/>
        </w:rPr>
        <w:t>open-ended interviews</w:t>
      </w:r>
      <w:r w:rsidR="00971E3B" w:rsidRPr="00C574FE">
        <w:rPr>
          <w:rFonts w:eastAsia="Batang"/>
          <w:bCs/>
        </w:rPr>
        <w:t xml:space="preserve"> high but accuracy </w:t>
      </w:r>
      <w:r w:rsidR="00783E45" w:rsidRPr="00C574FE">
        <w:rPr>
          <w:rFonts w:eastAsia="Batang"/>
          <w:bCs/>
        </w:rPr>
        <w:t xml:space="preserve">under forced report </w:t>
      </w:r>
      <w:r w:rsidR="00971E3B" w:rsidRPr="00C574FE">
        <w:rPr>
          <w:rFonts w:eastAsia="Batang"/>
          <w:bCs/>
        </w:rPr>
        <w:t xml:space="preserve">was also very high.  </w:t>
      </w:r>
      <w:r w:rsidR="0093330D" w:rsidRPr="00C574FE">
        <w:rPr>
          <w:rFonts w:eastAsia="Batang"/>
          <w:bCs/>
        </w:rPr>
        <w:t>These patterns were not evident in Experiment 3.  T</w:t>
      </w:r>
      <w:r w:rsidR="000955DB" w:rsidRPr="00C574FE">
        <w:rPr>
          <w:rFonts w:eastAsia="Batang"/>
          <w:bCs/>
        </w:rPr>
        <w:t>hird</w:t>
      </w:r>
      <w:r w:rsidR="00971E3B" w:rsidRPr="00C574FE">
        <w:rPr>
          <w:rFonts w:eastAsia="Batang"/>
          <w:bCs/>
        </w:rPr>
        <w:t xml:space="preserve">, it is difficult to draw meaningful conclusions about the confidence-accuracy relation for the </w:t>
      </w:r>
      <w:r w:rsidR="008404AB" w:rsidRPr="00C574FE">
        <w:rPr>
          <w:rFonts w:eastAsia="Batang"/>
          <w:bCs/>
        </w:rPr>
        <w:t xml:space="preserve">open-ended </w:t>
      </w:r>
      <w:r w:rsidR="00971E3B" w:rsidRPr="00C574FE">
        <w:rPr>
          <w:rFonts w:eastAsia="Batang"/>
          <w:bCs/>
        </w:rPr>
        <w:t>conditions because coarse-grain responses were so rarely volunteered</w:t>
      </w:r>
      <w:r w:rsidR="00FD7522" w:rsidRPr="00C574FE">
        <w:rPr>
          <w:rFonts w:eastAsia="Batang"/>
          <w:bCs/>
        </w:rPr>
        <w:t xml:space="preserve"> and thus patterns for the various confidence cutoffs are unlikely to be stable</w:t>
      </w:r>
      <w:r w:rsidR="00971E3B" w:rsidRPr="00C574FE">
        <w:rPr>
          <w:rFonts w:eastAsia="Batang"/>
          <w:bCs/>
        </w:rPr>
        <w:t>.</w:t>
      </w:r>
    </w:p>
    <w:p w14:paraId="3BE1D87C" w14:textId="0CB219B7" w:rsidR="00E27A39" w:rsidRPr="00C574FE" w:rsidRDefault="00D47969" w:rsidP="000F22D4">
      <w:pPr>
        <w:ind w:firstLine="426"/>
        <w:rPr>
          <w:rFonts w:eastAsia="Batang"/>
          <w:bCs/>
        </w:rPr>
      </w:pPr>
      <w:r w:rsidRPr="00C574FE">
        <w:rPr>
          <w:rFonts w:eastAsia="Batang"/>
          <w:bCs/>
        </w:rPr>
        <w:t>The corresponding confidence-accuracy data for fine-grain responses</w:t>
      </w:r>
      <w:r w:rsidR="00B929F3" w:rsidRPr="00C574FE">
        <w:rPr>
          <w:rFonts w:eastAsia="Batang"/>
          <w:bCs/>
        </w:rPr>
        <w:t xml:space="preserve"> </w:t>
      </w:r>
      <w:r w:rsidR="004802D0" w:rsidRPr="00C574FE">
        <w:rPr>
          <w:rFonts w:eastAsia="Batang"/>
          <w:bCs/>
        </w:rPr>
        <w:t xml:space="preserve">for Experiments </w:t>
      </w:r>
      <w:r w:rsidR="00D7617F" w:rsidRPr="00C574FE">
        <w:rPr>
          <w:rFonts w:eastAsia="Batang"/>
          <w:bCs/>
        </w:rPr>
        <w:t>1-</w:t>
      </w:r>
      <w:r w:rsidR="000955DB" w:rsidRPr="00C574FE">
        <w:rPr>
          <w:rFonts w:eastAsia="Batang"/>
          <w:bCs/>
        </w:rPr>
        <w:t>3</w:t>
      </w:r>
      <w:r w:rsidR="004802D0" w:rsidRPr="00C574FE">
        <w:rPr>
          <w:rFonts w:eastAsia="Batang"/>
          <w:bCs/>
        </w:rPr>
        <w:t xml:space="preserve"> </w:t>
      </w:r>
      <w:r w:rsidRPr="00C574FE">
        <w:rPr>
          <w:rFonts w:eastAsia="Batang"/>
          <w:bCs/>
        </w:rPr>
        <w:t xml:space="preserve">are shown in </w:t>
      </w:r>
      <w:r w:rsidR="00D7617F" w:rsidRPr="00C574FE">
        <w:rPr>
          <w:rFonts w:eastAsia="Batang"/>
          <w:bCs/>
        </w:rPr>
        <w:t xml:space="preserve">Supplementary Tables </w:t>
      </w:r>
      <w:r w:rsidR="000955DB" w:rsidRPr="00C574FE">
        <w:rPr>
          <w:rFonts w:eastAsia="Batang"/>
          <w:bCs/>
        </w:rPr>
        <w:t>6</w:t>
      </w:r>
      <w:r w:rsidR="00FB02CC" w:rsidRPr="00C574FE">
        <w:rPr>
          <w:rFonts w:eastAsia="Batang"/>
          <w:bCs/>
        </w:rPr>
        <w:t>-</w:t>
      </w:r>
      <w:r w:rsidR="000955DB" w:rsidRPr="00C574FE">
        <w:rPr>
          <w:rFonts w:eastAsia="Batang"/>
          <w:bCs/>
        </w:rPr>
        <w:t>8 (pp.1</w:t>
      </w:r>
      <w:r w:rsidR="002B43D6" w:rsidRPr="00C574FE">
        <w:rPr>
          <w:rFonts w:eastAsia="Batang"/>
          <w:bCs/>
        </w:rPr>
        <w:t>7-19</w:t>
      </w:r>
      <w:r w:rsidR="000955DB" w:rsidRPr="00C574FE">
        <w:rPr>
          <w:rFonts w:eastAsia="Batang"/>
          <w:bCs/>
        </w:rPr>
        <w:t>)</w:t>
      </w:r>
      <w:r w:rsidRPr="00C574FE">
        <w:rPr>
          <w:rFonts w:eastAsia="Batang"/>
          <w:bCs/>
        </w:rPr>
        <w:t xml:space="preserve">.  </w:t>
      </w:r>
      <w:r w:rsidR="0070397F" w:rsidRPr="00C574FE">
        <w:rPr>
          <w:rFonts w:eastAsia="Batang"/>
          <w:bCs/>
        </w:rPr>
        <w:t xml:space="preserve">Although forced report accuracy </w:t>
      </w:r>
      <w:r w:rsidR="001265EF" w:rsidRPr="00C574FE">
        <w:rPr>
          <w:rFonts w:eastAsia="Batang"/>
          <w:bCs/>
        </w:rPr>
        <w:t>rose</w:t>
      </w:r>
      <w:r w:rsidR="0070397F" w:rsidRPr="00C574FE">
        <w:rPr>
          <w:rFonts w:eastAsia="Batang"/>
          <w:bCs/>
        </w:rPr>
        <w:t xml:space="preserve"> in a systematic manner as </w:t>
      </w:r>
      <w:r w:rsidR="001265EF" w:rsidRPr="00C574FE">
        <w:t>only items reported with increasingly higher levels of confidence were encompassed</w:t>
      </w:r>
      <w:r w:rsidR="0070397F" w:rsidRPr="00C574FE">
        <w:rPr>
          <w:rFonts w:eastAsia="Batang"/>
          <w:bCs/>
        </w:rPr>
        <w:t>, it is clear from an inspection</w:t>
      </w:r>
      <w:r w:rsidR="00543543" w:rsidRPr="00C574FE">
        <w:rPr>
          <w:rFonts w:eastAsia="Batang"/>
          <w:bCs/>
        </w:rPr>
        <w:t xml:space="preserve"> of these tables that</w:t>
      </w:r>
      <w:r w:rsidR="0070397F" w:rsidRPr="00C574FE">
        <w:rPr>
          <w:rFonts w:eastAsia="Batang"/>
          <w:bCs/>
        </w:rPr>
        <w:t xml:space="preserve"> the use of confidence did not </w:t>
      </w:r>
      <w:r w:rsidR="00543543" w:rsidRPr="00C574FE">
        <w:rPr>
          <w:rFonts w:eastAsia="Batang"/>
          <w:bCs/>
        </w:rPr>
        <w:t xml:space="preserve">lead to </w:t>
      </w:r>
      <w:r w:rsidR="0070397F" w:rsidRPr="00C574FE">
        <w:rPr>
          <w:rFonts w:eastAsia="Batang"/>
          <w:bCs/>
        </w:rPr>
        <w:t xml:space="preserve">the identification of a substantially larger pool of fine-grain items likely to be as accurate as those produced under </w:t>
      </w:r>
      <w:r w:rsidR="008404AB" w:rsidRPr="00C574FE">
        <w:rPr>
          <w:rFonts w:eastAsia="Batang"/>
          <w:bCs/>
        </w:rPr>
        <w:t>open-ended conditions</w:t>
      </w:r>
      <w:r w:rsidR="0070397F" w:rsidRPr="00C574FE">
        <w:rPr>
          <w:rFonts w:eastAsia="Batang"/>
          <w:bCs/>
        </w:rPr>
        <w:t xml:space="preserve">.  That is, </w:t>
      </w:r>
      <w:r w:rsidR="00A85853" w:rsidRPr="00C574FE">
        <w:rPr>
          <w:rFonts w:eastAsia="Batang"/>
          <w:bCs/>
        </w:rPr>
        <w:t>if</w:t>
      </w:r>
      <w:r w:rsidR="0070397F" w:rsidRPr="00C574FE">
        <w:rPr>
          <w:rFonts w:eastAsia="Batang"/>
          <w:bCs/>
        </w:rPr>
        <w:t xml:space="preserve"> the mean number of accurate fine-grain items began to </w:t>
      </w:r>
      <w:r w:rsidR="00543543" w:rsidRPr="00C574FE">
        <w:rPr>
          <w:rFonts w:eastAsia="Batang"/>
          <w:bCs/>
        </w:rPr>
        <w:t xml:space="preserve">show an obvious advantage over that produced under </w:t>
      </w:r>
      <w:r w:rsidR="008404AB" w:rsidRPr="00C574FE">
        <w:rPr>
          <w:rFonts w:eastAsia="Batang"/>
          <w:bCs/>
        </w:rPr>
        <w:t xml:space="preserve">open-ended </w:t>
      </w:r>
      <w:r w:rsidR="006B63FC" w:rsidRPr="00C574FE">
        <w:rPr>
          <w:rFonts w:eastAsia="Batang"/>
          <w:bCs/>
        </w:rPr>
        <w:t>interviews</w:t>
      </w:r>
      <w:r w:rsidR="00543543" w:rsidRPr="00C574FE">
        <w:rPr>
          <w:rFonts w:eastAsia="Batang"/>
          <w:bCs/>
        </w:rPr>
        <w:t xml:space="preserve">, </w:t>
      </w:r>
      <w:r w:rsidR="00E27A39" w:rsidRPr="00C574FE">
        <w:rPr>
          <w:rFonts w:eastAsia="Batang"/>
          <w:bCs/>
        </w:rPr>
        <w:t xml:space="preserve">generally </w:t>
      </w:r>
      <w:r w:rsidR="00543543" w:rsidRPr="00C574FE">
        <w:rPr>
          <w:rFonts w:eastAsia="Batang"/>
          <w:bCs/>
        </w:rPr>
        <w:t xml:space="preserve">the tradeoff was poorer accuracy.  </w:t>
      </w:r>
      <w:r w:rsidR="00E27A39" w:rsidRPr="00C574FE">
        <w:rPr>
          <w:rFonts w:eastAsia="Batang"/>
          <w:bCs/>
        </w:rPr>
        <w:t>O</w:t>
      </w:r>
      <w:r w:rsidR="00040686" w:rsidRPr="00C574FE">
        <w:rPr>
          <w:rFonts w:eastAsia="Batang"/>
          <w:bCs/>
        </w:rPr>
        <w:t>ne-way ANOVAs</w:t>
      </w:r>
      <w:r w:rsidR="00E27A39" w:rsidRPr="00C574FE">
        <w:rPr>
          <w:rFonts w:eastAsia="Batang"/>
          <w:bCs/>
        </w:rPr>
        <w:t>, and importantly the relevant effect sizes,</w:t>
      </w:r>
      <w:r w:rsidR="00040686" w:rsidRPr="00C574FE">
        <w:rPr>
          <w:rFonts w:eastAsia="Batang"/>
          <w:bCs/>
        </w:rPr>
        <w:t xml:space="preserve"> c</w:t>
      </w:r>
      <w:r w:rsidR="00E27A39" w:rsidRPr="00C574FE">
        <w:rPr>
          <w:rFonts w:eastAsia="Batang"/>
          <w:bCs/>
        </w:rPr>
        <w:t xml:space="preserve">omparing forced and </w:t>
      </w:r>
      <w:r w:rsidR="008404AB" w:rsidRPr="00C574FE">
        <w:rPr>
          <w:rFonts w:eastAsia="Batang"/>
          <w:bCs/>
        </w:rPr>
        <w:t>open-ended</w:t>
      </w:r>
      <w:r w:rsidR="00E27A39" w:rsidRPr="00C574FE">
        <w:rPr>
          <w:rFonts w:eastAsia="Batang"/>
          <w:bCs/>
        </w:rPr>
        <w:t xml:space="preserve"> accuracy at the different levels of confidence </w:t>
      </w:r>
      <w:r w:rsidR="00575925" w:rsidRPr="00C574FE">
        <w:rPr>
          <w:rFonts w:eastAsia="Batang"/>
          <w:bCs/>
        </w:rPr>
        <w:t xml:space="preserve">confirmed </w:t>
      </w:r>
      <w:r w:rsidR="00E27A39" w:rsidRPr="00C574FE">
        <w:rPr>
          <w:rFonts w:eastAsia="Batang"/>
          <w:bCs/>
        </w:rPr>
        <w:t>that</w:t>
      </w:r>
      <w:r w:rsidR="00575925" w:rsidRPr="00C574FE">
        <w:rPr>
          <w:rFonts w:eastAsia="Batang"/>
          <w:bCs/>
        </w:rPr>
        <w:t>,</w:t>
      </w:r>
      <w:r w:rsidR="000955DB" w:rsidRPr="00C574FE">
        <w:rPr>
          <w:rFonts w:eastAsia="Batang"/>
          <w:bCs/>
        </w:rPr>
        <w:t xml:space="preserve"> </w:t>
      </w:r>
      <w:r w:rsidR="00575925" w:rsidRPr="00C574FE">
        <w:rPr>
          <w:rFonts w:eastAsia="Batang"/>
          <w:bCs/>
        </w:rPr>
        <w:t xml:space="preserve">in Experiments 1 and 3, forced fine-grain accuracy was compromised relative to at least one free recall condition at </w:t>
      </w:r>
      <w:r w:rsidR="00033555" w:rsidRPr="00C574FE">
        <w:rPr>
          <w:rFonts w:eastAsia="Batang"/>
          <w:bCs/>
        </w:rPr>
        <w:t xml:space="preserve">most </w:t>
      </w:r>
      <w:r w:rsidR="00575925" w:rsidRPr="00C574FE">
        <w:rPr>
          <w:rFonts w:eastAsia="Batang"/>
          <w:bCs/>
        </w:rPr>
        <w:t xml:space="preserve">levels of confidence </w:t>
      </w:r>
      <w:r w:rsidR="00033555" w:rsidRPr="00C574FE">
        <w:rPr>
          <w:rFonts w:eastAsia="Batang"/>
          <w:bCs/>
        </w:rPr>
        <w:t>(Supplementary Tables 9 and 11, pp.20 and 22)</w:t>
      </w:r>
      <w:r w:rsidR="007873C6" w:rsidRPr="00C574FE">
        <w:rPr>
          <w:rFonts w:eastAsia="Batang"/>
          <w:bCs/>
        </w:rPr>
        <w:t>.</w:t>
      </w:r>
      <w:r w:rsidR="00033555" w:rsidRPr="00C574FE">
        <w:rPr>
          <w:rFonts w:eastAsia="Batang"/>
          <w:bCs/>
        </w:rPr>
        <w:t xml:space="preserve">  In Experiment 2 with verbal reporting, </w:t>
      </w:r>
      <w:r w:rsidR="00E27A39" w:rsidRPr="00C574FE">
        <w:rPr>
          <w:rFonts w:eastAsia="Batang"/>
          <w:bCs/>
        </w:rPr>
        <w:t xml:space="preserve">forced report accuracy only became meaningfully lower than </w:t>
      </w:r>
      <w:r w:rsidR="008404AB" w:rsidRPr="00C574FE">
        <w:rPr>
          <w:rFonts w:eastAsia="Batang"/>
          <w:bCs/>
        </w:rPr>
        <w:t>open-ended interview</w:t>
      </w:r>
      <w:r w:rsidR="00E27A39" w:rsidRPr="00C574FE">
        <w:rPr>
          <w:rFonts w:eastAsia="Batang"/>
          <w:bCs/>
        </w:rPr>
        <w:t xml:space="preserve"> accuracy when the confidence level cut-off extended down </w:t>
      </w:r>
      <w:r w:rsidR="000F3F2C" w:rsidRPr="00C574FE">
        <w:rPr>
          <w:rFonts w:eastAsia="Batang"/>
          <w:bCs/>
        </w:rPr>
        <w:t xml:space="preserve">to </w:t>
      </w:r>
      <w:r w:rsidR="00E27A39" w:rsidRPr="00C574FE">
        <w:rPr>
          <w:rFonts w:eastAsia="Batang"/>
          <w:bCs/>
        </w:rPr>
        <w:t xml:space="preserve">around </w:t>
      </w:r>
      <w:r w:rsidR="00033555" w:rsidRPr="00C574FE">
        <w:rPr>
          <w:rFonts w:eastAsia="Batang"/>
          <w:bCs/>
        </w:rPr>
        <w:t>6</w:t>
      </w:r>
      <w:r w:rsidR="00575925" w:rsidRPr="00C574FE">
        <w:rPr>
          <w:rFonts w:eastAsia="Batang"/>
          <w:bCs/>
        </w:rPr>
        <w:t>0</w:t>
      </w:r>
      <w:r w:rsidR="00E27A39" w:rsidRPr="00C574FE">
        <w:rPr>
          <w:rFonts w:eastAsia="Batang"/>
          <w:bCs/>
        </w:rPr>
        <w:t>%</w:t>
      </w:r>
      <w:r w:rsidR="00033555" w:rsidRPr="00C574FE">
        <w:rPr>
          <w:rFonts w:eastAsia="Batang"/>
          <w:bCs/>
        </w:rPr>
        <w:t xml:space="preserve"> or lower (Supplementary Table 10, p.21).</w:t>
      </w:r>
    </w:p>
    <w:p w14:paraId="139A6C23" w14:textId="673F4768" w:rsidR="000F30BA" w:rsidRPr="00C574FE" w:rsidRDefault="000F30BA" w:rsidP="000A24F9">
      <w:pPr>
        <w:tabs>
          <w:tab w:val="clear" w:pos="8640"/>
        </w:tabs>
        <w:jc w:val="center"/>
        <w:rPr>
          <w:b/>
        </w:rPr>
      </w:pPr>
      <w:r w:rsidRPr="00C574FE">
        <w:rPr>
          <w:b/>
        </w:rPr>
        <w:t>Discussion</w:t>
      </w:r>
    </w:p>
    <w:p w14:paraId="09CF2E80" w14:textId="31B37C9A" w:rsidR="002A2150" w:rsidRPr="00C574FE" w:rsidRDefault="009D73F9" w:rsidP="002A2150">
      <w:pPr>
        <w:ind w:firstLine="426"/>
        <w:rPr>
          <w:rFonts w:eastAsia="Batang"/>
          <w:bCs/>
        </w:rPr>
      </w:pPr>
      <w:r w:rsidRPr="00C574FE">
        <w:t>Across experiments w</w:t>
      </w:r>
      <w:r w:rsidR="00C56288" w:rsidRPr="00C574FE">
        <w:t xml:space="preserve">e </w:t>
      </w:r>
      <w:r w:rsidR="00F01D7B" w:rsidRPr="00C574FE">
        <w:t xml:space="preserve">consistently </w:t>
      </w:r>
      <w:r w:rsidR="00C56288" w:rsidRPr="00C574FE">
        <w:t xml:space="preserve">found </w:t>
      </w:r>
      <w:r w:rsidR="000231E3" w:rsidRPr="00C574FE">
        <w:t xml:space="preserve">(a) </w:t>
      </w:r>
      <w:r w:rsidR="00C56288" w:rsidRPr="00C574FE">
        <w:t xml:space="preserve">reporting of coarse-grain details by eyewitnesses to a crime </w:t>
      </w:r>
      <w:r w:rsidR="000F6505" w:rsidRPr="00C574FE">
        <w:t>seldom h</w:t>
      </w:r>
      <w:r w:rsidR="00C56288" w:rsidRPr="00C574FE">
        <w:t>appen</w:t>
      </w:r>
      <w:r w:rsidR="000F6505" w:rsidRPr="00C574FE">
        <w:t>ed</w:t>
      </w:r>
      <w:r w:rsidR="00C56288" w:rsidRPr="00C574FE">
        <w:t xml:space="preserve"> under </w:t>
      </w:r>
      <w:r w:rsidR="008B7D1A" w:rsidRPr="00C574FE">
        <w:t>open-ended</w:t>
      </w:r>
      <w:r w:rsidR="00C56288" w:rsidRPr="00C574FE">
        <w:t xml:space="preserve"> interview conditions</w:t>
      </w:r>
      <w:r w:rsidR="000231E3" w:rsidRPr="00C574FE">
        <w:t xml:space="preserve">, and (b) </w:t>
      </w:r>
      <w:r w:rsidR="008647F8" w:rsidRPr="00C574FE">
        <w:t xml:space="preserve">participants </w:t>
      </w:r>
      <w:r w:rsidR="00C56288" w:rsidRPr="00C574FE">
        <w:t xml:space="preserve">were able to provide abundant coarse-grain details under </w:t>
      </w:r>
      <w:r w:rsidR="006D2C9D" w:rsidRPr="00C574FE">
        <w:t xml:space="preserve">cued recall </w:t>
      </w:r>
      <w:r w:rsidR="00C56288" w:rsidRPr="00C574FE">
        <w:t xml:space="preserve">forced report conditions – without </w:t>
      </w:r>
      <w:r w:rsidR="00393ED3" w:rsidRPr="00C574FE">
        <w:t xml:space="preserve">apparent </w:t>
      </w:r>
      <w:r w:rsidR="00C56288" w:rsidRPr="00C574FE">
        <w:t xml:space="preserve">cost to accuracy </w:t>
      </w:r>
      <w:r w:rsidR="00062290" w:rsidRPr="00C574FE">
        <w:t xml:space="preserve">relative to </w:t>
      </w:r>
      <w:r w:rsidR="004E5F13" w:rsidRPr="00C574FE">
        <w:t xml:space="preserve">the </w:t>
      </w:r>
      <w:r w:rsidR="00062290" w:rsidRPr="00C574FE">
        <w:t xml:space="preserve">accuracy of </w:t>
      </w:r>
      <w:r w:rsidR="004E5F13" w:rsidRPr="00C574FE">
        <w:t xml:space="preserve">corresponding types of </w:t>
      </w:r>
      <w:r w:rsidR="00062290" w:rsidRPr="00C574FE">
        <w:t>detail reported in</w:t>
      </w:r>
      <w:r w:rsidR="00062290" w:rsidRPr="00C574FE">
        <w:rPr>
          <w:rFonts w:eastAsia="Batang"/>
          <w:bCs/>
        </w:rPr>
        <w:t xml:space="preserve"> the </w:t>
      </w:r>
      <w:r w:rsidR="008B7D1A" w:rsidRPr="00C574FE">
        <w:t xml:space="preserve">open-ended </w:t>
      </w:r>
      <w:r w:rsidR="00C56288" w:rsidRPr="00C574FE">
        <w:t>conditions – regardless of whether they responded on a written questionnaire or in a</w:t>
      </w:r>
      <w:r w:rsidR="009A1689" w:rsidRPr="00C574FE">
        <w:t>n</w:t>
      </w:r>
      <w:r w:rsidR="00C56288" w:rsidRPr="00C574FE">
        <w:t xml:space="preserve"> </w:t>
      </w:r>
      <w:r w:rsidR="009A1689" w:rsidRPr="00C574FE">
        <w:t xml:space="preserve">individual </w:t>
      </w:r>
      <w:r w:rsidR="00C56288" w:rsidRPr="00C574FE">
        <w:t xml:space="preserve">face-to-face interview.  </w:t>
      </w:r>
      <w:r w:rsidR="000231E3" w:rsidRPr="00C574FE">
        <w:t>Ne</w:t>
      </w:r>
      <w:r w:rsidR="008647F8" w:rsidRPr="00C574FE">
        <w:rPr>
          <w:rFonts w:eastAsia="Batang"/>
          <w:bCs/>
        </w:rPr>
        <w:t xml:space="preserve">gligible reporting of accurate coarse-grain items under open-ended interview conditions was </w:t>
      </w:r>
      <w:r w:rsidR="000231E3" w:rsidRPr="00C574FE">
        <w:rPr>
          <w:rFonts w:eastAsia="Batang"/>
          <w:bCs/>
        </w:rPr>
        <w:t xml:space="preserve">not </w:t>
      </w:r>
      <w:r w:rsidR="008647F8" w:rsidRPr="00C574FE">
        <w:rPr>
          <w:rFonts w:eastAsia="Batang"/>
          <w:bCs/>
        </w:rPr>
        <w:t xml:space="preserve">due to very high frequencies of accurate fine-grain reporting, as the overall mean number of accurate (coarse- and fine- grain combined) details was never less than five times higher under forced report than open-ended conditions.  </w:t>
      </w:r>
      <w:r w:rsidR="000231E3" w:rsidRPr="00C574FE">
        <w:rPr>
          <w:rFonts w:eastAsia="Batang"/>
          <w:bCs/>
        </w:rPr>
        <w:t xml:space="preserve">In other words, the cued recall forced report procedure provided a means by which accessible, but likely to be unreported, coarse-grain items became available to interviewers.  </w:t>
      </w:r>
      <w:r w:rsidR="002A2150" w:rsidRPr="00C574FE">
        <w:t xml:space="preserve">We note that, although the CIs and the effect sizes clearly demonstrate the increased accurate coarse-grain outputs under forced report relative to free recall, we cannot say anything meaningful about possible differences between the free recall conditions.  Not only are the CIs around the free recall means </w:t>
      </w:r>
      <w:r w:rsidR="00393ED3" w:rsidRPr="00C574FE">
        <w:t>inconclusive but, more important, the reliability of any such contrasts is challenged due to the base rate of coarse-grain reports being so low.</w:t>
      </w:r>
    </w:p>
    <w:p w14:paraId="5A903AB6" w14:textId="5A2B3867" w:rsidR="008647F8" w:rsidRPr="00C574FE" w:rsidRDefault="00393ED3" w:rsidP="008647F8">
      <w:pPr>
        <w:ind w:firstLine="426"/>
        <w:rPr>
          <w:rFonts w:eastAsia="Batang"/>
          <w:bCs/>
        </w:rPr>
      </w:pPr>
      <w:r w:rsidRPr="00C574FE">
        <w:rPr>
          <w:rFonts w:eastAsia="Batang"/>
          <w:bCs/>
        </w:rPr>
        <w:t xml:space="preserve">There were two other noteworthy findings.  First, </w:t>
      </w:r>
      <w:r w:rsidR="00BB556B" w:rsidRPr="00C574FE">
        <w:rPr>
          <w:rFonts w:eastAsia="Batang"/>
          <w:bCs/>
        </w:rPr>
        <w:t xml:space="preserve">in two of the three experiments </w:t>
      </w:r>
      <w:r w:rsidR="000231E3" w:rsidRPr="00C574FE">
        <w:rPr>
          <w:rFonts w:eastAsia="Batang"/>
          <w:bCs/>
        </w:rPr>
        <w:t xml:space="preserve">item-level confidence provided a </w:t>
      </w:r>
      <w:r w:rsidR="00BB556B" w:rsidRPr="00C574FE">
        <w:rPr>
          <w:rFonts w:eastAsia="Batang"/>
          <w:bCs/>
        </w:rPr>
        <w:t xml:space="preserve">very </w:t>
      </w:r>
      <w:r w:rsidR="000231E3" w:rsidRPr="00C574FE">
        <w:rPr>
          <w:rFonts w:eastAsia="Batang"/>
          <w:bCs/>
        </w:rPr>
        <w:t xml:space="preserve">neat diagnostic indicator of coarse-grain item accuracy, at least when obtained via an individual verbal report.  </w:t>
      </w:r>
      <w:r w:rsidR="00E0317E" w:rsidRPr="00C574FE">
        <w:rPr>
          <w:rFonts w:eastAsia="Batang"/>
          <w:bCs/>
        </w:rPr>
        <w:t xml:space="preserve">The discrimination provided by confidence was not as impressive in Experiment 3, despite accuracy levels being similar, and we can offer no obvious explanation for this.  </w:t>
      </w:r>
      <w:r w:rsidRPr="00C574FE">
        <w:rPr>
          <w:rFonts w:eastAsia="Batang"/>
          <w:bCs/>
        </w:rPr>
        <w:t>Second</w:t>
      </w:r>
      <w:r w:rsidR="008647F8" w:rsidRPr="00C574FE">
        <w:rPr>
          <w:rFonts w:eastAsia="Batang"/>
          <w:bCs/>
        </w:rPr>
        <w:t xml:space="preserve">, although forced report elicited more accurate fine-grain details than open-ended interview conditions, accuracy suffered.  </w:t>
      </w:r>
      <w:r w:rsidR="007773BD" w:rsidRPr="00C574FE">
        <w:rPr>
          <w:rFonts w:eastAsia="Batang"/>
          <w:bCs/>
        </w:rPr>
        <w:t>Nevertheless</w:t>
      </w:r>
      <w:r w:rsidR="00E0317E" w:rsidRPr="00C574FE">
        <w:rPr>
          <w:rFonts w:eastAsia="Batang"/>
          <w:bCs/>
        </w:rPr>
        <w:t>, the confidence-accuracy patterns were similar to those for coarse-grain reports.</w:t>
      </w:r>
    </w:p>
    <w:p w14:paraId="26334665" w14:textId="56C9B9DD" w:rsidR="00885756" w:rsidRPr="00C574FE" w:rsidRDefault="00193247" w:rsidP="000A24F9">
      <w:pPr>
        <w:ind w:firstLine="426"/>
      </w:pPr>
      <w:r w:rsidRPr="00C574FE">
        <w:t>Although participant</w:t>
      </w:r>
      <w:r w:rsidR="008647F8" w:rsidRPr="00C574FE">
        <w:t xml:space="preserve"> numbers </w:t>
      </w:r>
      <w:r w:rsidRPr="00C574FE">
        <w:t xml:space="preserve">per interview condition were modest, the consistent data patterns were encouraging.  </w:t>
      </w:r>
      <w:r w:rsidR="00607C96" w:rsidRPr="00C574FE">
        <w:t>Importantly</w:t>
      </w:r>
      <w:r w:rsidR="00C56288" w:rsidRPr="00C574FE">
        <w:t xml:space="preserve">, similar patterns were detected </w:t>
      </w:r>
      <w:r w:rsidR="00F01D7B" w:rsidRPr="00C574FE">
        <w:t xml:space="preserve">(a) </w:t>
      </w:r>
      <w:r w:rsidR="00ED19F2" w:rsidRPr="00C574FE">
        <w:t xml:space="preserve">when the </w:t>
      </w:r>
      <w:r w:rsidR="008B7D1A" w:rsidRPr="00C574FE">
        <w:t>open-ended</w:t>
      </w:r>
      <w:r w:rsidR="00ED19F2" w:rsidRPr="00C574FE">
        <w:t xml:space="preserve"> procedure was a modified form of the SAI</w:t>
      </w:r>
      <w:r w:rsidR="006D2C9D" w:rsidRPr="00C574FE">
        <w:rPr>
          <w:vertAlign w:val="superscript"/>
        </w:rPr>
        <w:t>©</w:t>
      </w:r>
      <w:r w:rsidR="00ED19F2" w:rsidRPr="00C574FE">
        <w:t xml:space="preserve"> procedure</w:t>
      </w:r>
      <w:r w:rsidR="009D73F9" w:rsidRPr="00C574FE">
        <w:t xml:space="preserve"> </w:t>
      </w:r>
      <w:r w:rsidR="00F00414" w:rsidRPr="00C574FE">
        <w:t xml:space="preserve">– that is, </w:t>
      </w:r>
      <w:r w:rsidR="00F01D7B" w:rsidRPr="00C574FE">
        <w:t xml:space="preserve">a realistic </w:t>
      </w:r>
      <w:r w:rsidR="008647F8" w:rsidRPr="00C574FE">
        <w:t xml:space="preserve">and </w:t>
      </w:r>
      <w:r w:rsidR="006B1692" w:rsidRPr="00C574FE">
        <w:t>established</w:t>
      </w:r>
      <w:r w:rsidR="008647F8" w:rsidRPr="00C574FE">
        <w:t xml:space="preserve"> </w:t>
      </w:r>
      <w:r w:rsidR="00F01D7B" w:rsidRPr="00C574FE">
        <w:t xml:space="preserve">interview procedure </w:t>
      </w:r>
      <w:r w:rsidR="00ED19F2" w:rsidRPr="00C574FE">
        <w:t>including free re</w:t>
      </w:r>
      <w:r w:rsidR="00F963A9" w:rsidRPr="00C574FE">
        <w:t>call</w:t>
      </w:r>
      <w:r w:rsidR="00ED19F2" w:rsidRPr="00C574FE">
        <w:t xml:space="preserve"> and subsequent more systematic </w:t>
      </w:r>
      <w:r w:rsidR="008B7D1A" w:rsidRPr="00C574FE">
        <w:t xml:space="preserve">open-ended </w:t>
      </w:r>
      <w:r w:rsidR="00ED19F2" w:rsidRPr="00C574FE">
        <w:t>probing</w:t>
      </w:r>
      <w:r w:rsidR="00F00414" w:rsidRPr="00C574FE">
        <w:t xml:space="preserve"> – and </w:t>
      </w:r>
      <w:r w:rsidR="00F01D7B" w:rsidRPr="00C574FE">
        <w:t xml:space="preserve">(b) </w:t>
      </w:r>
      <w:r w:rsidR="00ED19F2" w:rsidRPr="00C574FE">
        <w:t>w</w:t>
      </w:r>
      <w:r w:rsidR="00C56288" w:rsidRPr="00C574FE">
        <w:t xml:space="preserve">hen we varied the stimulus encoding materials and the specific questions asked.  </w:t>
      </w:r>
      <w:r w:rsidR="00595FE6" w:rsidRPr="00C574FE">
        <w:t xml:space="preserve">Thus, the procedure proved suitable for eliciting likely-to-be-unreported coarse-grain information when the questions were probing dimensions such as color of clothing, hair, features, objects and accessories; </w:t>
      </w:r>
      <w:r w:rsidR="0054538C" w:rsidRPr="00C574FE">
        <w:t xml:space="preserve">numeric details relating to </w:t>
      </w:r>
      <w:r w:rsidR="00595FE6" w:rsidRPr="00C574FE">
        <w:t xml:space="preserve">distance, length or </w:t>
      </w:r>
      <w:r w:rsidR="0054538C" w:rsidRPr="00C574FE">
        <w:t>qualit</w:t>
      </w:r>
      <w:r w:rsidR="00595FE6" w:rsidRPr="00C574FE">
        <w:t>ative actions; and location.</w:t>
      </w:r>
      <w:r w:rsidR="0054538C" w:rsidRPr="00C574FE">
        <w:t xml:space="preserve">  </w:t>
      </w:r>
    </w:p>
    <w:p w14:paraId="4198064E" w14:textId="11F7FF51" w:rsidR="000A5D82" w:rsidRPr="00C574FE" w:rsidRDefault="00A63C72" w:rsidP="000A24F9">
      <w:pPr>
        <w:ind w:firstLine="426"/>
      </w:pPr>
      <w:r w:rsidRPr="00C574FE">
        <w:t xml:space="preserve">Although – as we cautioned in the Introduction – the absolute levels of accurate details reported and overall accuracy are clearly dependent on the number and difficulty of forced report questions asked, </w:t>
      </w:r>
      <w:r w:rsidR="009D73F9" w:rsidRPr="00C574FE">
        <w:t xml:space="preserve">these experiments suggest that </w:t>
      </w:r>
      <w:r w:rsidRPr="00C574FE">
        <w:t>a p</w:t>
      </w:r>
      <w:r w:rsidR="0054538C" w:rsidRPr="00C574FE">
        <w:t xml:space="preserve">rocedure </w:t>
      </w:r>
      <w:r w:rsidR="006B1692" w:rsidRPr="00C574FE">
        <w:t xml:space="preserve">involving </w:t>
      </w:r>
      <w:r w:rsidR="006D2C9D" w:rsidRPr="00C574FE">
        <w:t xml:space="preserve">cued recall </w:t>
      </w:r>
      <w:r w:rsidRPr="00C574FE">
        <w:t xml:space="preserve">forced reporting of coarse-grain detail </w:t>
      </w:r>
      <w:r w:rsidR="0054538C" w:rsidRPr="00C574FE">
        <w:t>offer</w:t>
      </w:r>
      <w:r w:rsidR="006B1692" w:rsidRPr="00C574FE">
        <w:t>s</w:t>
      </w:r>
      <w:r w:rsidR="0054538C" w:rsidRPr="00C574FE">
        <w:t xml:space="preserve"> potential as a</w:t>
      </w:r>
      <w:r w:rsidR="006B1692" w:rsidRPr="00C574FE">
        <w:t>n</w:t>
      </w:r>
      <w:r w:rsidR="0054538C" w:rsidRPr="00C574FE">
        <w:t xml:space="preserve"> adjunct to open-ended forensic interviewing techniques.  </w:t>
      </w:r>
      <w:r w:rsidR="00F00414" w:rsidRPr="00C574FE">
        <w:t>It is perhaps tempting to assert that the lack of precision of coarse-grain details, when compared with fine-grain details, renders them much less important for the progress of an investigation, analogous to the distinction sometimes drawn in eyewitness memory research between the utility of central and peripheral details</w:t>
      </w:r>
      <w:r w:rsidR="00C4118D" w:rsidRPr="00C574FE">
        <w:t xml:space="preserve"> (or verbatim and gist accounts)</w:t>
      </w:r>
      <w:r w:rsidR="00F00414" w:rsidRPr="00C574FE">
        <w:t xml:space="preserve">.  The </w:t>
      </w:r>
      <w:r w:rsidR="00C4118D" w:rsidRPr="00C574FE">
        <w:t xml:space="preserve">central-peripheral </w:t>
      </w:r>
      <w:r w:rsidR="00F00414" w:rsidRPr="00C574FE">
        <w:t xml:space="preserve">distinction is often operationalized via independent raters’ appraisals of </w:t>
      </w:r>
      <w:r w:rsidR="00B31BAE" w:rsidRPr="00C574FE">
        <w:t xml:space="preserve">which items are </w:t>
      </w:r>
      <w:r w:rsidR="00783E45" w:rsidRPr="00C574FE">
        <w:t>most appropriately d</w:t>
      </w:r>
      <w:r w:rsidR="00B31BAE" w:rsidRPr="00C574FE">
        <w:t xml:space="preserve">escribed as central versus peripheral (e.g., </w:t>
      </w:r>
      <w:r w:rsidR="00C4118D" w:rsidRPr="00C574FE">
        <w:t>Christian</w:t>
      </w:r>
      <w:r w:rsidR="00DE0BC9" w:rsidRPr="00C574FE">
        <w:t>son, 1992)</w:t>
      </w:r>
      <w:r w:rsidR="00B31BAE" w:rsidRPr="00C574FE">
        <w:t xml:space="preserve"> or probative versus non-probative (e.g., Lavis &amp; Brewer, 2017), and such an examination could be applied to the evaluation of fine- and coarse-grain details.  We argue, however, that such an approach </w:t>
      </w:r>
      <w:r w:rsidR="00C4118D" w:rsidRPr="00C574FE">
        <w:t xml:space="preserve">sometimes </w:t>
      </w:r>
      <w:r w:rsidR="00B31BAE" w:rsidRPr="00C574FE">
        <w:t>misses a key point.  Although a</w:t>
      </w:r>
      <w:r w:rsidR="007873C6" w:rsidRPr="00C574FE">
        <w:t>n accurate</w:t>
      </w:r>
      <w:r w:rsidR="00B31BAE" w:rsidRPr="00C574FE">
        <w:t xml:space="preserve"> fine-grain report of some </w:t>
      </w:r>
      <w:r w:rsidR="007873C6" w:rsidRPr="00C574FE">
        <w:t>item of information</w:t>
      </w:r>
      <w:r w:rsidR="00B31BAE" w:rsidRPr="00C574FE">
        <w:t xml:space="preserve"> will obviously be more informative than its coarse-grain equivalent, the utility of any </w:t>
      </w:r>
      <w:r w:rsidR="00783E45" w:rsidRPr="00C574FE">
        <w:t xml:space="preserve">particular </w:t>
      </w:r>
      <w:r w:rsidR="00B31BAE" w:rsidRPr="00C574FE">
        <w:t xml:space="preserve">piece of information will </w:t>
      </w:r>
      <w:r w:rsidR="00DE0BC9" w:rsidRPr="00C574FE">
        <w:t xml:space="preserve">often </w:t>
      </w:r>
      <w:r w:rsidR="00B31BAE" w:rsidRPr="00C574FE">
        <w:t>be context, or case, dependent.  A</w:t>
      </w:r>
      <w:r w:rsidR="0054538C" w:rsidRPr="00C574FE">
        <w:t xml:space="preserve">s we </w:t>
      </w:r>
      <w:r w:rsidR="00B31BAE" w:rsidRPr="00C574FE">
        <w:t>outlined ea</w:t>
      </w:r>
      <w:r w:rsidR="00DE0BC9" w:rsidRPr="00C574FE">
        <w:t>r</w:t>
      </w:r>
      <w:r w:rsidR="00B31BAE" w:rsidRPr="00C574FE">
        <w:t>lier</w:t>
      </w:r>
      <w:r w:rsidR="0054538C" w:rsidRPr="00C574FE">
        <w:t xml:space="preserve">, coarse-grain details – despite perhaps appearing </w:t>
      </w:r>
      <w:r w:rsidR="009D73F9" w:rsidRPr="00C574FE">
        <w:t xml:space="preserve">at face value as </w:t>
      </w:r>
      <w:r w:rsidR="0054538C" w:rsidRPr="00C574FE">
        <w:t>vague and unhelpful – may prove invaluable in police investigations for suggesting potential new directions of investigation, for corroborating the testimony of other witnesses</w:t>
      </w:r>
      <w:r w:rsidRPr="00C574FE">
        <w:t xml:space="preserve"> and confirming the merits of a particular line of investigation</w:t>
      </w:r>
      <w:r w:rsidR="0054538C" w:rsidRPr="00C574FE">
        <w:t xml:space="preserve">, </w:t>
      </w:r>
      <w:r w:rsidR="00F01D7B" w:rsidRPr="00C574FE">
        <w:t xml:space="preserve">and </w:t>
      </w:r>
      <w:r w:rsidR="0054538C" w:rsidRPr="00C574FE">
        <w:t xml:space="preserve">for ruling out hypotheses about the identity of suspects.  </w:t>
      </w:r>
    </w:p>
    <w:p w14:paraId="7CF1144D" w14:textId="77777777" w:rsidR="000A5D82" w:rsidRPr="00C574FE" w:rsidRDefault="00BE78EE" w:rsidP="000A24F9">
      <w:pPr>
        <w:ind w:firstLine="426"/>
      </w:pPr>
      <w:r w:rsidRPr="00C574FE">
        <w:t xml:space="preserve">Further, </w:t>
      </w:r>
      <w:r w:rsidR="00DE0BC9" w:rsidRPr="00C574FE">
        <w:t xml:space="preserve">exactly the same </w:t>
      </w:r>
      <w:r w:rsidR="009D73F9" w:rsidRPr="00C574FE">
        <w:t xml:space="preserve">coarse-grain detail that may be completely uninformative in one case may prove invaluable in another case depending on the broad array of evidence available.  </w:t>
      </w:r>
      <w:r w:rsidR="00C4118D" w:rsidRPr="00C574FE">
        <w:t xml:space="preserve">Knowing that a getaway car was light-colored may be very useful if there is only one witness who saw the getaway and </w:t>
      </w:r>
      <w:r w:rsidR="00DE0BC9" w:rsidRPr="00C574FE">
        <w:t xml:space="preserve">there is </w:t>
      </w:r>
      <w:r w:rsidR="00C4118D" w:rsidRPr="00C574FE">
        <w:t>other evidence point</w:t>
      </w:r>
      <w:r w:rsidR="00DE0BC9" w:rsidRPr="00C574FE">
        <w:t>ing</w:t>
      </w:r>
      <w:r w:rsidR="00C4118D" w:rsidRPr="00C574FE">
        <w:t xml:space="preserve"> to a specific suspect who </w:t>
      </w:r>
      <w:r w:rsidR="00DE0BC9" w:rsidRPr="00C574FE">
        <w:t xml:space="preserve">is known to </w:t>
      </w:r>
      <w:r w:rsidR="00C4118D" w:rsidRPr="00C574FE">
        <w:t xml:space="preserve">always drive a beige (rather than a red or blue or black) car.  The same </w:t>
      </w:r>
      <w:r w:rsidR="00DE0BC9" w:rsidRPr="00C574FE">
        <w:t xml:space="preserve">item of </w:t>
      </w:r>
      <w:r w:rsidR="00C4118D" w:rsidRPr="00C574FE">
        <w:t xml:space="preserve">information may be much less useful, however, if there were </w:t>
      </w:r>
      <w:r w:rsidR="00DE0BC9" w:rsidRPr="00C574FE">
        <w:t>four</w:t>
      </w:r>
      <w:r w:rsidR="00C4118D" w:rsidRPr="00C574FE">
        <w:t xml:space="preserve"> other witnesses who </w:t>
      </w:r>
      <w:r w:rsidR="00DE0BC9" w:rsidRPr="00C574FE">
        <w:t xml:space="preserve">apparently had a good view of the event and </w:t>
      </w:r>
      <w:r w:rsidR="00C4118D" w:rsidRPr="00C574FE">
        <w:t xml:space="preserve">variously described the getaway car as white, beige, cream </w:t>
      </w:r>
      <w:r w:rsidR="00783E45" w:rsidRPr="00C574FE">
        <w:t>or</w:t>
      </w:r>
      <w:r w:rsidR="00C4118D" w:rsidRPr="00C574FE">
        <w:t xml:space="preserve"> very pale blue.</w:t>
      </w:r>
      <w:r w:rsidR="00DE0BC9" w:rsidRPr="00C574FE">
        <w:t xml:space="preserve">  </w:t>
      </w:r>
      <w:r w:rsidR="000D3331" w:rsidRPr="00C574FE">
        <w:t xml:space="preserve">It has already been noted that witnesses do relatively poorly at reporting descriptive features of perpetrators of crimes, a problem that may severely compromise the capacity of police to apprehend the perpetrator (e.g., Douglass et al., 2013).  </w:t>
      </w:r>
      <w:r w:rsidR="006B756F" w:rsidRPr="00C574FE">
        <w:t>Consequently</w:t>
      </w:r>
      <w:r w:rsidR="000D3331" w:rsidRPr="00C574FE">
        <w:t xml:space="preserve">, successfully </w:t>
      </w:r>
      <w:r w:rsidR="00C2406A" w:rsidRPr="00C574FE">
        <w:t>overcoming this</w:t>
      </w:r>
      <w:r w:rsidR="000D3331" w:rsidRPr="00C574FE">
        <w:t xml:space="preserve"> problem would represent an important </w:t>
      </w:r>
      <w:r w:rsidR="006B756F" w:rsidRPr="00C574FE">
        <w:t>breakthrough</w:t>
      </w:r>
      <w:r w:rsidR="000D3331" w:rsidRPr="00C574FE">
        <w:t xml:space="preserve"> for </w:t>
      </w:r>
      <w:r w:rsidR="006B756F" w:rsidRPr="00C574FE">
        <w:t>forensic</w:t>
      </w:r>
      <w:r w:rsidR="000D3331" w:rsidRPr="00C574FE">
        <w:t xml:space="preserve"> investigators.  </w:t>
      </w:r>
    </w:p>
    <w:p w14:paraId="182055B4" w14:textId="5D1EAD74" w:rsidR="00BD30E7" w:rsidRPr="00C574FE" w:rsidRDefault="00812D56" w:rsidP="000A24F9">
      <w:pPr>
        <w:ind w:firstLine="426"/>
      </w:pPr>
      <w:r w:rsidRPr="00C574FE">
        <w:t>Critically, w</w:t>
      </w:r>
      <w:r w:rsidR="000F6505" w:rsidRPr="00C574FE">
        <w:t>e are not suggesting that th</w:t>
      </w:r>
      <w:r w:rsidR="000D3331" w:rsidRPr="00C574FE">
        <w:t>e</w:t>
      </w:r>
      <w:r w:rsidR="000F6505" w:rsidRPr="00C574FE">
        <w:t xml:space="preserve"> approach </w:t>
      </w:r>
      <w:r w:rsidR="000D3331" w:rsidRPr="00C574FE">
        <w:t xml:space="preserve">we have used here </w:t>
      </w:r>
      <w:r w:rsidR="000F6505" w:rsidRPr="00C574FE">
        <w:t xml:space="preserve">could </w:t>
      </w:r>
      <w:r w:rsidR="00BE78EE" w:rsidRPr="00C574FE">
        <w:t xml:space="preserve">or should </w:t>
      </w:r>
      <w:r w:rsidR="000F6505" w:rsidRPr="00C574FE">
        <w:t xml:space="preserve">be adopted as an alternative to non-biased </w:t>
      </w:r>
      <w:r w:rsidR="008B7D1A" w:rsidRPr="00C574FE">
        <w:t>open-ended</w:t>
      </w:r>
      <w:r w:rsidR="00F963A9" w:rsidRPr="00C574FE">
        <w:t xml:space="preserve"> </w:t>
      </w:r>
      <w:r w:rsidR="000F6505" w:rsidRPr="00C574FE">
        <w:t>interviewing; rather</w:t>
      </w:r>
      <w:r w:rsidR="009D73F9" w:rsidRPr="00C574FE">
        <w:t>,</w:t>
      </w:r>
      <w:r w:rsidR="000F6505" w:rsidRPr="00C574FE">
        <w:t xml:space="preserve"> it might be used to complement the information obtained from </w:t>
      </w:r>
      <w:r w:rsidR="008B7D1A" w:rsidRPr="00C574FE">
        <w:t>such approaches</w:t>
      </w:r>
      <w:r w:rsidR="000F6505" w:rsidRPr="00C574FE">
        <w:t xml:space="preserve">.  </w:t>
      </w:r>
      <w:r w:rsidR="006B1692" w:rsidRPr="00C574FE">
        <w:t>I</w:t>
      </w:r>
      <w:r w:rsidR="00C948B6" w:rsidRPr="00C574FE">
        <w:t xml:space="preserve">dentifying a means of enhancing outputs of accurate fine-grain information would be even more valuable.  </w:t>
      </w:r>
      <w:r w:rsidR="0070591A" w:rsidRPr="00C574FE">
        <w:t>H</w:t>
      </w:r>
      <w:r w:rsidR="00C948B6" w:rsidRPr="00C574FE">
        <w:t xml:space="preserve">owever, the data were compelling in showing that </w:t>
      </w:r>
      <w:r w:rsidR="0054538C" w:rsidRPr="00C574FE">
        <w:t xml:space="preserve">forced reporting of fine-grain details undermined accuracy relative to </w:t>
      </w:r>
      <w:r w:rsidR="008B7D1A" w:rsidRPr="00C574FE">
        <w:t xml:space="preserve">open-ended </w:t>
      </w:r>
      <w:r w:rsidR="0054538C" w:rsidRPr="00C574FE">
        <w:t>free re</w:t>
      </w:r>
      <w:r w:rsidR="00F963A9" w:rsidRPr="00C574FE">
        <w:t>call</w:t>
      </w:r>
      <w:r w:rsidR="00C948B6" w:rsidRPr="00C574FE">
        <w:t xml:space="preserve">.  </w:t>
      </w:r>
      <w:r w:rsidR="00833D34" w:rsidRPr="00C574FE">
        <w:t xml:space="preserve">Thus, although </w:t>
      </w:r>
      <w:r w:rsidR="009A1689" w:rsidRPr="00C574FE">
        <w:t xml:space="preserve">fine-grain forced reporting </w:t>
      </w:r>
      <w:r w:rsidR="0054538C" w:rsidRPr="00C574FE">
        <w:t>could be used to provide ne</w:t>
      </w:r>
      <w:r w:rsidR="000F6505" w:rsidRPr="00C574FE">
        <w:t>w leads</w:t>
      </w:r>
      <w:r w:rsidR="00421D5D" w:rsidRPr="00C574FE">
        <w:t>,</w:t>
      </w:r>
      <w:r w:rsidR="000F6505" w:rsidRPr="00C574FE">
        <w:t xml:space="preserve"> </w:t>
      </w:r>
      <w:r w:rsidR="000D3331" w:rsidRPr="00C574FE">
        <w:t xml:space="preserve">especially </w:t>
      </w:r>
      <w:r w:rsidR="00A34893" w:rsidRPr="00C574FE">
        <w:t xml:space="preserve">when an </w:t>
      </w:r>
      <w:r w:rsidR="000D3331" w:rsidRPr="00C574FE">
        <w:t>in</w:t>
      </w:r>
      <w:r w:rsidR="000F6505" w:rsidRPr="00C574FE">
        <w:t>vestigation</w:t>
      </w:r>
      <w:r w:rsidR="00A34893" w:rsidRPr="00C574FE">
        <w:t xml:space="preserve"> appears to be </w:t>
      </w:r>
      <w:r w:rsidR="00833D34" w:rsidRPr="00C574FE">
        <w:t>at a dead-end</w:t>
      </w:r>
      <w:r w:rsidRPr="00C574FE">
        <w:t xml:space="preserve"> and other open-ended questioning methods have been exhausted</w:t>
      </w:r>
      <w:r w:rsidR="00833D34" w:rsidRPr="00C574FE">
        <w:t>, the information obtained would have to be treated with extreme caution</w:t>
      </w:r>
      <w:r w:rsidRPr="00C574FE">
        <w:t xml:space="preserve">. </w:t>
      </w:r>
    </w:p>
    <w:p w14:paraId="6BC51245" w14:textId="1A41E4FA" w:rsidR="00D25EEF" w:rsidRPr="00C574FE" w:rsidRDefault="006B1692" w:rsidP="00A03C2E">
      <w:pPr>
        <w:ind w:firstLine="426"/>
        <w:rPr>
          <w:rFonts w:eastAsia="Times New Roman"/>
        </w:rPr>
      </w:pPr>
      <w:r w:rsidRPr="00C574FE">
        <w:t xml:space="preserve">It is possible, of course, that </w:t>
      </w:r>
      <w:r w:rsidR="00A03C2E" w:rsidRPr="00C574FE">
        <w:t xml:space="preserve">if interviewees have reported incorrect information under free recall, subsequent forced report probing could elicit further distorted information.  </w:t>
      </w:r>
      <w:r w:rsidR="004102FC" w:rsidRPr="00C574FE">
        <w:t>That said,</w:t>
      </w:r>
      <w:r w:rsidR="00A03C2E" w:rsidRPr="00C574FE">
        <w:t xml:space="preserve"> </w:t>
      </w:r>
      <w:r w:rsidR="00D25EEF" w:rsidRPr="00C574FE">
        <w:rPr>
          <w:rFonts w:eastAsia="Times New Roman"/>
        </w:rPr>
        <w:t xml:space="preserve">any </w:t>
      </w:r>
      <w:r w:rsidR="003170D6" w:rsidRPr="00C574FE">
        <w:rPr>
          <w:rFonts w:eastAsia="Times New Roman"/>
        </w:rPr>
        <w:t>non</w:t>
      </w:r>
      <w:r w:rsidR="002157C2" w:rsidRPr="00C574FE">
        <w:rPr>
          <w:rFonts w:eastAsia="Times New Roman"/>
        </w:rPr>
        <w:t>-</w:t>
      </w:r>
      <w:r w:rsidR="003170D6" w:rsidRPr="00C574FE">
        <w:rPr>
          <w:rFonts w:eastAsia="Times New Roman"/>
        </w:rPr>
        <w:t xml:space="preserve">forced report </w:t>
      </w:r>
      <w:r w:rsidR="00D25EEF" w:rsidRPr="00C574FE">
        <w:rPr>
          <w:rFonts w:eastAsia="Times New Roman"/>
        </w:rPr>
        <w:t xml:space="preserve">interviewer probing of inaccurate free recall responses </w:t>
      </w:r>
      <w:r w:rsidR="003170D6" w:rsidRPr="00C574FE">
        <w:rPr>
          <w:rFonts w:eastAsia="Times New Roman"/>
        </w:rPr>
        <w:t xml:space="preserve">– responses which </w:t>
      </w:r>
      <w:r w:rsidRPr="00C574FE">
        <w:rPr>
          <w:rFonts w:eastAsia="Times New Roman"/>
        </w:rPr>
        <w:t xml:space="preserve">our data show </w:t>
      </w:r>
      <w:r w:rsidR="003170D6" w:rsidRPr="00C574FE">
        <w:rPr>
          <w:rFonts w:eastAsia="Times New Roman"/>
        </w:rPr>
        <w:t xml:space="preserve">are reliably elicited (e.g., </w:t>
      </w:r>
      <w:r w:rsidR="00DF4D6B" w:rsidRPr="00C574FE">
        <w:rPr>
          <w:rFonts w:eastAsia="Times New Roman"/>
        </w:rPr>
        <w:t xml:space="preserve">in </w:t>
      </w:r>
      <w:r w:rsidR="003170D6" w:rsidRPr="00C574FE">
        <w:rPr>
          <w:rFonts w:eastAsia="Times New Roman"/>
        </w:rPr>
        <w:t>the SAI</w:t>
      </w:r>
      <w:r w:rsidR="00C0122C" w:rsidRPr="00C574FE">
        <w:rPr>
          <w:vertAlign w:val="superscript"/>
        </w:rPr>
        <w:t>©</w:t>
      </w:r>
      <w:r w:rsidR="003170D6" w:rsidRPr="00C574FE">
        <w:rPr>
          <w:rFonts w:eastAsia="Times New Roman"/>
        </w:rPr>
        <w:t xml:space="preserve"> condition</w:t>
      </w:r>
      <w:r w:rsidR="00DF4D6B" w:rsidRPr="00C574FE">
        <w:rPr>
          <w:rFonts w:eastAsia="Times New Roman"/>
        </w:rPr>
        <w:t>,</w:t>
      </w:r>
      <w:r w:rsidR="003170D6" w:rsidRPr="00C574FE">
        <w:rPr>
          <w:rFonts w:eastAsia="Times New Roman"/>
        </w:rPr>
        <w:t xml:space="preserve"> mean proportion correct </w:t>
      </w:r>
      <w:r w:rsidR="002157C2" w:rsidRPr="00C574FE">
        <w:rPr>
          <w:rFonts w:eastAsia="Times New Roman"/>
        </w:rPr>
        <w:t xml:space="preserve">was no better than </w:t>
      </w:r>
      <w:r w:rsidR="003170D6" w:rsidRPr="00C574FE">
        <w:rPr>
          <w:rFonts w:eastAsia="Times New Roman"/>
        </w:rPr>
        <w:t xml:space="preserve">0.73 in any experiment) – presumably </w:t>
      </w:r>
      <w:r w:rsidR="00D25EEF" w:rsidRPr="00C574FE">
        <w:rPr>
          <w:rFonts w:eastAsia="Times New Roman"/>
        </w:rPr>
        <w:t>also has the potential to produce additional memory distortion</w:t>
      </w:r>
      <w:r w:rsidR="003170D6" w:rsidRPr="00C574FE">
        <w:rPr>
          <w:rFonts w:eastAsia="Times New Roman"/>
        </w:rPr>
        <w:t xml:space="preserve">, with the </w:t>
      </w:r>
      <w:r w:rsidR="00D25EEF" w:rsidRPr="00C574FE">
        <w:rPr>
          <w:rFonts w:eastAsia="Times New Roman"/>
        </w:rPr>
        <w:t>significance of any such distortion depend</w:t>
      </w:r>
      <w:r w:rsidR="003170D6" w:rsidRPr="00C574FE">
        <w:rPr>
          <w:rFonts w:eastAsia="Times New Roman"/>
        </w:rPr>
        <w:t>ent</w:t>
      </w:r>
      <w:r w:rsidR="00D25EEF" w:rsidRPr="00C574FE">
        <w:rPr>
          <w:rFonts w:eastAsia="Times New Roman"/>
        </w:rPr>
        <w:t xml:space="preserve"> on how pivotal any item of information turn</w:t>
      </w:r>
      <w:r w:rsidR="004102FC" w:rsidRPr="00C574FE">
        <w:rPr>
          <w:rFonts w:eastAsia="Times New Roman"/>
        </w:rPr>
        <w:t>ed</w:t>
      </w:r>
      <w:r w:rsidR="00D25EEF" w:rsidRPr="00C574FE">
        <w:rPr>
          <w:rFonts w:eastAsia="Times New Roman"/>
        </w:rPr>
        <w:t xml:space="preserve"> out to be in the broader context of a particular investigation or trial.  </w:t>
      </w:r>
      <w:r w:rsidR="003170D6" w:rsidRPr="00C574FE">
        <w:rPr>
          <w:rFonts w:eastAsia="Times New Roman"/>
        </w:rPr>
        <w:t xml:space="preserve">In other words, advancing the science of interviewing demands that interviewers </w:t>
      </w:r>
      <w:r w:rsidR="004102FC" w:rsidRPr="00C574FE">
        <w:rPr>
          <w:rFonts w:eastAsia="Times New Roman"/>
        </w:rPr>
        <w:t>– and those evaluating the outcomes of interviews</w:t>
      </w:r>
      <w:r w:rsidR="002157C2" w:rsidRPr="00C574FE">
        <w:rPr>
          <w:rFonts w:eastAsia="Times New Roman"/>
        </w:rPr>
        <w:t xml:space="preserve"> (e.g., police, jurors, judges)</w:t>
      </w:r>
      <w:r w:rsidR="004102FC" w:rsidRPr="00C574FE">
        <w:rPr>
          <w:rFonts w:eastAsia="Times New Roman"/>
        </w:rPr>
        <w:t xml:space="preserve"> – </w:t>
      </w:r>
      <w:r w:rsidR="003170D6" w:rsidRPr="00C574FE">
        <w:rPr>
          <w:rFonts w:eastAsia="Times New Roman"/>
        </w:rPr>
        <w:t xml:space="preserve">recognize that </w:t>
      </w:r>
      <w:r w:rsidR="003170D6" w:rsidRPr="00C574FE">
        <w:rPr>
          <w:rFonts w:eastAsia="Times New Roman"/>
          <w:u w:val="single"/>
        </w:rPr>
        <w:t>any</w:t>
      </w:r>
      <w:r w:rsidR="003170D6" w:rsidRPr="00C574FE">
        <w:rPr>
          <w:rFonts w:eastAsia="Times New Roman"/>
        </w:rPr>
        <w:t xml:space="preserve"> item of information reported is potentially inaccurate, regard</w:t>
      </w:r>
      <w:r w:rsidR="004102FC" w:rsidRPr="00C574FE">
        <w:rPr>
          <w:rFonts w:eastAsia="Times New Roman"/>
        </w:rPr>
        <w:t>less of the conditions under which it is elicited or the characteristics of the report (i.e., the precis</w:t>
      </w:r>
      <w:r w:rsidR="009A1689" w:rsidRPr="00C574FE">
        <w:rPr>
          <w:rFonts w:eastAsia="Times New Roman"/>
        </w:rPr>
        <w:t>ion</w:t>
      </w:r>
      <w:r w:rsidR="004102FC" w:rsidRPr="00C574FE">
        <w:rPr>
          <w:rFonts w:eastAsia="Times New Roman"/>
        </w:rPr>
        <w:t xml:space="preserve"> of the detail provided and the associated confidence).</w:t>
      </w:r>
      <w:r w:rsidR="005710A8" w:rsidRPr="00C574FE">
        <w:rPr>
          <w:rFonts w:eastAsia="Times New Roman"/>
        </w:rPr>
        <w:t xml:space="preserve">  In a similar vein, it is well established that witness confidence </w:t>
      </w:r>
      <w:r w:rsidR="00FD40C7" w:rsidRPr="00C574FE">
        <w:rPr>
          <w:rFonts w:eastAsia="Times New Roman"/>
        </w:rPr>
        <w:t>is vulnerable to inflation (e.g., Semmler, Brewer, &amp; Wells, 2004), making it crucial that the confidence associated with the initial memory report is preserved as the record of interest (Brewer &amp; Wells, 2006).</w:t>
      </w:r>
    </w:p>
    <w:p w14:paraId="2AEF3EF3" w14:textId="4E1D705C" w:rsidR="005B1CF8" w:rsidRPr="00C574FE" w:rsidRDefault="005B1CF8" w:rsidP="005B1CF8">
      <w:pPr>
        <w:rPr>
          <w:b/>
        </w:rPr>
      </w:pPr>
      <w:r w:rsidRPr="00C574FE">
        <w:rPr>
          <w:b/>
        </w:rPr>
        <w:t>Generalizability and Limitations</w:t>
      </w:r>
    </w:p>
    <w:p w14:paraId="4825BC17" w14:textId="570642A7" w:rsidR="00DF6A20" w:rsidRPr="00C574FE" w:rsidRDefault="000F6505" w:rsidP="000A24F9">
      <w:pPr>
        <w:ind w:firstLine="426"/>
      </w:pPr>
      <w:r w:rsidRPr="00C574FE">
        <w:t>Although we have been comparing coarse-grain outputs across conditions, w</w:t>
      </w:r>
      <w:r w:rsidR="00577519" w:rsidRPr="00C574FE">
        <w:t xml:space="preserve">e </w:t>
      </w:r>
      <w:r w:rsidR="00655B83" w:rsidRPr="00C574FE">
        <w:t xml:space="preserve">again </w:t>
      </w:r>
      <w:r w:rsidR="00577519" w:rsidRPr="00C574FE">
        <w:t xml:space="preserve">emphasize that we make </w:t>
      </w:r>
      <w:r w:rsidR="00017DCE" w:rsidRPr="00C574FE">
        <w:t xml:space="preserve">absolutely </w:t>
      </w:r>
      <w:r w:rsidR="00577519" w:rsidRPr="00C574FE">
        <w:t xml:space="preserve">no quantitative claim about exactly how much more accurate </w:t>
      </w:r>
      <w:r w:rsidR="00E06B46" w:rsidRPr="00C574FE">
        <w:t xml:space="preserve">coarse-grain </w:t>
      </w:r>
      <w:r w:rsidR="00577519" w:rsidRPr="00C574FE">
        <w:t xml:space="preserve">information might come to light </w:t>
      </w:r>
      <w:r w:rsidR="00017DCE" w:rsidRPr="00C574FE">
        <w:t xml:space="preserve">(e.g., </w:t>
      </w:r>
      <w:r w:rsidR="00DF6A20" w:rsidRPr="00C574FE">
        <w:t xml:space="preserve">0%, </w:t>
      </w:r>
      <w:r w:rsidR="00017DCE" w:rsidRPr="00C574FE">
        <w:t>10%</w:t>
      </w:r>
      <w:r w:rsidR="00655B83" w:rsidRPr="00C574FE">
        <w:t xml:space="preserve"> more</w:t>
      </w:r>
      <w:r w:rsidR="00017DCE" w:rsidRPr="00C574FE">
        <w:t>, 20%</w:t>
      </w:r>
      <w:r w:rsidR="00655B83" w:rsidRPr="00C574FE">
        <w:t xml:space="preserve"> more</w:t>
      </w:r>
      <w:r w:rsidR="00017DCE" w:rsidRPr="00C574FE">
        <w:t xml:space="preserve">, </w:t>
      </w:r>
      <w:r w:rsidR="007773BD" w:rsidRPr="00C574FE">
        <w:t>etc.</w:t>
      </w:r>
      <w:r w:rsidR="00017DCE" w:rsidRPr="00C574FE">
        <w:t xml:space="preserve">) </w:t>
      </w:r>
      <w:r w:rsidR="00421D5D" w:rsidRPr="00C574FE">
        <w:t xml:space="preserve">in any </w:t>
      </w:r>
      <w:r w:rsidR="00DF6A20" w:rsidRPr="00C574FE">
        <w:t>individual</w:t>
      </w:r>
      <w:r w:rsidR="00421D5D" w:rsidRPr="00C574FE">
        <w:t xml:space="preserve"> investigation </w:t>
      </w:r>
      <w:r w:rsidR="00577519" w:rsidRPr="00C574FE">
        <w:t>through applying such a forced</w:t>
      </w:r>
      <w:r w:rsidR="00655B83" w:rsidRPr="00C574FE">
        <w:t>-</w:t>
      </w:r>
      <w:r w:rsidR="00577519" w:rsidRPr="00C574FE">
        <w:t>report procedure</w:t>
      </w:r>
      <w:r w:rsidR="002157C2" w:rsidRPr="00C574FE">
        <w:t xml:space="preserve"> rather than using free recall only</w:t>
      </w:r>
      <w:r w:rsidR="00577519" w:rsidRPr="00C574FE">
        <w:t>.  Recall that to enable meaningful comparisons between interview conditions we adopt</w:t>
      </w:r>
      <w:r w:rsidR="00FD0486" w:rsidRPr="00C574FE">
        <w:t>ed</w:t>
      </w:r>
      <w:r w:rsidR="00577519" w:rsidRPr="00C574FE">
        <w:t xml:space="preserve"> some scoring rules to accommodate the fact that some items probed using the grain size procedure might never emerge under </w:t>
      </w:r>
      <w:r w:rsidR="008B7D1A" w:rsidRPr="00C574FE">
        <w:t>open questioning</w:t>
      </w:r>
      <w:r w:rsidR="00577519" w:rsidRPr="00C574FE">
        <w:t xml:space="preserve">, while some items that emerged under </w:t>
      </w:r>
      <w:r w:rsidR="008B7D1A" w:rsidRPr="00C574FE">
        <w:t>the latter</w:t>
      </w:r>
      <w:r w:rsidR="00577519" w:rsidRPr="00C574FE">
        <w:t xml:space="preserve"> were not – or perhaps could not be – probed by the grain size procedure.  </w:t>
      </w:r>
      <w:r w:rsidR="008536EB" w:rsidRPr="00C574FE">
        <w:t>An</w:t>
      </w:r>
      <w:r w:rsidR="003E2C49" w:rsidRPr="00C574FE">
        <w:t xml:space="preserve"> unavoidable consequence of this approach is that our data do not speak to </w:t>
      </w:r>
      <w:r w:rsidR="00DF6A20" w:rsidRPr="00C574FE">
        <w:t>a number of other possibilities, some of which we canvass below</w:t>
      </w:r>
      <w:r w:rsidR="001D7A17" w:rsidRPr="00C574FE">
        <w:t xml:space="preserve"> based on a purely descriptive examination of items not</w:t>
      </w:r>
      <w:r w:rsidR="006906B9" w:rsidRPr="00C574FE">
        <w:t xml:space="preserve"> encompassed by our comparisons</w:t>
      </w:r>
      <w:r w:rsidR="00DF6A20" w:rsidRPr="00C574FE">
        <w:t>.</w:t>
      </w:r>
    </w:p>
    <w:p w14:paraId="0B16592A" w14:textId="534D4FDA" w:rsidR="000F0F7B" w:rsidRPr="00C574FE" w:rsidRDefault="001D7A17" w:rsidP="001D7A17">
      <w:pPr>
        <w:ind w:firstLine="426"/>
      </w:pPr>
      <w:r w:rsidRPr="00C574FE">
        <w:t>One possibility is that our approach understated the utility of the forced-reporting approach</w:t>
      </w:r>
      <w:r w:rsidR="000F0F7B" w:rsidRPr="00C574FE">
        <w:t xml:space="preserve">.  This could happen </w:t>
      </w:r>
      <w:r w:rsidRPr="00C574FE">
        <w:t>by excluding items (</w:t>
      </w:r>
      <w:r w:rsidR="00AF4843" w:rsidRPr="00C574FE">
        <w:t>that were never</w:t>
      </w:r>
      <w:r w:rsidRPr="00C574FE">
        <w:t xml:space="preserve"> reported at open interview) that may have been useful in an investigation.  Undoubtedly this could happen</w:t>
      </w:r>
      <w:r w:rsidR="006906B9" w:rsidRPr="00C574FE">
        <w:t>,</w:t>
      </w:r>
      <w:r w:rsidRPr="00C574FE">
        <w:t xml:space="preserve"> although much of the information generated only by the forced report procedure was judged by </w:t>
      </w:r>
      <w:r w:rsidR="0076673E" w:rsidRPr="00C574FE">
        <w:t xml:space="preserve">a panel of 10 </w:t>
      </w:r>
      <w:r w:rsidR="00AF4843" w:rsidRPr="00C574FE">
        <w:t xml:space="preserve">independent </w:t>
      </w:r>
      <w:r w:rsidR="0076673E" w:rsidRPr="00C574FE">
        <w:t xml:space="preserve">eyewitness interviewing and memory researchers </w:t>
      </w:r>
      <w:r w:rsidRPr="00C574FE">
        <w:t xml:space="preserve">as </w:t>
      </w:r>
      <w:r w:rsidR="00AF4843" w:rsidRPr="00C574FE">
        <w:t>probably</w:t>
      </w:r>
      <w:r w:rsidR="006906B9" w:rsidRPr="00C574FE">
        <w:t xml:space="preserve"> </w:t>
      </w:r>
      <w:r w:rsidRPr="00C574FE">
        <w:t>of low relevance to an investigation</w:t>
      </w:r>
      <w:r w:rsidR="006906B9" w:rsidRPr="00C574FE">
        <w:t xml:space="preserve"> (</w:t>
      </w:r>
      <w:r w:rsidR="00AF4843" w:rsidRPr="00C574FE">
        <w:t>though</w:t>
      </w:r>
      <w:r w:rsidR="006906B9" w:rsidRPr="00C574FE">
        <w:t xml:space="preserve"> </w:t>
      </w:r>
      <w:r w:rsidR="00AF4843" w:rsidRPr="00C574FE">
        <w:t>note</w:t>
      </w:r>
      <w:r w:rsidR="006906B9" w:rsidRPr="00C574FE">
        <w:t xml:space="preserve"> our ea</w:t>
      </w:r>
      <w:r w:rsidR="00FD40C7" w:rsidRPr="00C574FE">
        <w:t>r</w:t>
      </w:r>
      <w:r w:rsidR="006906B9" w:rsidRPr="00C574FE">
        <w:t>lier comments re</w:t>
      </w:r>
      <w:r w:rsidR="00C0122C">
        <w:t>garding</w:t>
      </w:r>
      <w:r w:rsidR="006906B9" w:rsidRPr="00C574FE">
        <w:t xml:space="preserve"> the importance of context</w:t>
      </w:r>
      <w:r w:rsidR="00AF4843" w:rsidRPr="00C574FE">
        <w:t xml:space="preserve"> in assessing relevance</w:t>
      </w:r>
      <w:r w:rsidR="006906B9" w:rsidRPr="00C574FE">
        <w:t>)</w:t>
      </w:r>
      <w:r w:rsidRPr="00C574FE">
        <w:t xml:space="preserve">.  </w:t>
      </w:r>
      <w:r w:rsidR="000F0F7B" w:rsidRPr="00C574FE">
        <w:t>Or, the grain-size protocol may have omitted to probe for details that would be amenable to grain size question</w:t>
      </w:r>
      <w:r w:rsidR="00AF4843" w:rsidRPr="00C574FE">
        <w:t>s</w:t>
      </w:r>
      <w:r w:rsidR="000F0F7B" w:rsidRPr="00C574FE">
        <w:t xml:space="preserve"> and </w:t>
      </w:r>
      <w:r w:rsidR="006906B9" w:rsidRPr="00C574FE">
        <w:t xml:space="preserve">were </w:t>
      </w:r>
      <w:r w:rsidR="000F0F7B" w:rsidRPr="00C574FE">
        <w:t xml:space="preserve">reported at open interview.  This too could happen although our examination showed few details that would be </w:t>
      </w:r>
      <w:r w:rsidR="00AF4843" w:rsidRPr="00C574FE">
        <w:t xml:space="preserve">readily </w:t>
      </w:r>
      <w:r w:rsidR="000F0F7B" w:rsidRPr="00C574FE">
        <w:t>amenable to a grain size distinction</w:t>
      </w:r>
      <w:r w:rsidR="006906B9" w:rsidRPr="00C574FE">
        <w:t xml:space="preserve"> but </w:t>
      </w:r>
      <w:r w:rsidR="000F0F7B" w:rsidRPr="00C574FE">
        <w:t xml:space="preserve">not covered by a grain size question were reported in open interviews. </w:t>
      </w:r>
      <w:r w:rsidR="00AF4843" w:rsidRPr="00C574FE">
        <w:t xml:space="preserve"> The types of information that were captured in free recall but not amenable to grain-size questions were </w:t>
      </w:r>
      <w:r w:rsidR="007873C6" w:rsidRPr="00C574FE">
        <w:t xml:space="preserve">often </w:t>
      </w:r>
      <w:r w:rsidR="00AF4843" w:rsidRPr="00C574FE">
        <w:t>details about actions and judgments about the character of those involved in the event.</w:t>
      </w:r>
    </w:p>
    <w:p w14:paraId="2526BAE0" w14:textId="17A38342" w:rsidR="006030DB" w:rsidRPr="00C574FE" w:rsidRDefault="006030DB" w:rsidP="001D7A17">
      <w:pPr>
        <w:ind w:firstLine="426"/>
      </w:pPr>
      <w:r w:rsidRPr="00C574FE">
        <w:t>A second possibility is</w:t>
      </w:r>
      <w:r w:rsidR="0026265D" w:rsidRPr="00C574FE">
        <w:t xml:space="preserve"> the accuracy of coarse-grain items obtained under forced report</w:t>
      </w:r>
      <w:r w:rsidRPr="00C574FE">
        <w:t xml:space="preserve"> </w:t>
      </w:r>
      <w:r w:rsidR="0026265D" w:rsidRPr="00C574FE">
        <w:t>may have been overstated</w:t>
      </w:r>
      <w:r w:rsidR="001B41EB" w:rsidRPr="00C574FE">
        <w:t xml:space="preserve"> by the protocols we adopted to permit some kind of comparison between interview conditions</w:t>
      </w:r>
      <w:r w:rsidR="0026265D" w:rsidRPr="00C574FE">
        <w:t>.  For example,</w:t>
      </w:r>
      <w:r w:rsidR="001B41EB" w:rsidRPr="00C574FE">
        <w:t xml:space="preserve"> some</w:t>
      </w:r>
      <w:r w:rsidR="0026265D" w:rsidRPr="00C574FE">
        <w:t xml:space="preserve"> items excluded from comparisons because they were never reported by any witnesses in free recall may </w:t>
      </w:r>
      <w:r w:rsidR="001B41EB" w:rsidRPr="00C574FE">
        <w:t xml:space="preserve">have been items simply deemed to be so irrelevant as to not warrant reporting.  But some items were likely not reported because they were items that for some reason (e.g., shorter exposure duration, lack of clear vision) were less likely to be </w:t>
      </w:r>
      <w:r w:rsidR="0026265D" w:rsidRPr="00C574FE">
        <w:t>remembered</w:t>
      </w:r>
      <w:r w:rsidR="000D6E18">
        <w:t xml:space="preserve"> and, hence, less likely to be accurate under forced report</w:t>
      </w:r>
      <w:r w:rsidR="0026265D" w:rsidRPr="00C574FE">
        <w:t xml:space="preserve">.  </w:t>
      </w:r>
      <w:r w:rsidR="001B41EB" w:rsidRPr="00C574FE">
        <w:t>To the extent the l</w:t>
      </w:r>
      <w:r w:rsidR="007873C6" w:rsidRPr="00C574FE">
        <w:t>atter</w:t>
      </w:r>
      <w:r w:rsidR="001B41EB" w:rsidRPr="00C574FE">
        <w:t xml:space="preserve"> was the case</w:t>
      </w:r>
      <w:r w:rsidR="0026265D" w:rsidRPr="00C574FE">
        <w:t xml:space="preserve">, </w:t>
      </w:r>
      <w:r w:rsidR="001B41EB" w:rsidRPr="00C574FE">
        <w:t xml:space="preserve">forced report </w:t>
      </w:r>
      <w:r w:rsidR="0026265D" w:rsidRPr="00C574FE">
        <w:t xml:space="preserve">accuracy may well have been lower than what we found.  </w:t>
      </w:r>
    </w:p>
    <w:p w14:paraId="3A70F540" w14:textId="52195E08" w:rsidR="000F0F7B" w:rsidRPr="00C574FE" w:rsidRDefault="00C8600C" w:rsidP="001D7A17">
      <w:pPr>
        <w:ind w:firstLine="426"/>
      </w:pPr>
      <w:r w:rsidRPr="00C574FE">
        <w:t xml:space="preserve">A </w:t>
      </w:r>
      <w:r w:rsidR="006030DB" w:rsidRPr="00C574FE">
        <w:t>third</w:t>
      </w:r>
      <w:r w:rsidRPr="00C574FE">
        <w:t xml:space="preserve"> possibility is that the</w:t>
      </w:r>
      <w:r w:rsidR="001D7A17" w:rsidRPr="00C574FE">
        <w:t xml:space="preserve"> accuracy of coarse-grain items obtained under forced report </w:t>
      </w:r>
      <w:r w:rsidRPr="00C574FE">
        <w:t xml:space="preserve">may be overstated because we had to deal with some items differently to others.  For example, as noted we excluded skin color items because </w:t>
      </w:r>
      <w:r w:rsidR="006906B9" w:rsidRPr="00C574FE">
        <w:t>the same</w:t>
      </w:r>
      <w:r w:rsidRPr="00C574FE">
        <w:t xml:space="preserve"> terms were sometimes used for both coarse and fine responses even though the </w:t>
      </w:r>
      <w:r w:rsidR="006906B9" w:rsidRPr="00C574FE">
        <w:t xml:space="preserve">individual </w:t>
      </w:r>
      <w:r w:rsidRPr="00C574FE">
        <w:t xml:space="preserve">participant clearly differentiated skin color appropriately.  In other words, for some reason the meaning of individual terms did not map neatly onto our fine-coarse distinction.  In practice this should not matter because a witness omitting skin color detail could easily be probed with an appropriate coarse-grain question (e.g., </w:t>
      </w:r>
      <w:r w:rsidR="00940765" w:rsidRPr="00C574FE">
        <w:t>W</w:t>
      </w:r>
      <w:r w:rsidRPr="00C574FE">
        <w:t>as their skin dark or light or in-between?)</w:t>
      </w:r>
      <w:r w:rsidR="000F0F7B" w:rsidRPr="00C574FE">
        <w:t xml:space="preserve">.  In a similar vein, where the information available in the encoding event was </w:t>
      </w:r>
      <w:r w:rsidR="006906B9" w:rsidRPr="00C574FE">
        <w:t>ambiguous,</w:t>
      </w:r>
      <w:r w:rsidR="006030DB" w:rsidRPr="00C574FE">
        <w:t xml:space="preserve"> </w:t>
      </w:r>
      <w:r w:rsidR="000F0F7B" w:rsidRPr="00C574FE">
        <w:t xml:space="preserve">we accepted some responses as accurate </w:t>
      </w:r>
      <w:r w:rsidR="00BC5400" w:rsidRPr="00C574FE">
        <w:t xml:space="preserve">when the witness’s response did not match the provided responses (e.g., ‘medium’ rather than ‘light or dark’ for color of jeans, </w:t>
      </w:r>
      <w:r w:rsidR="006906B9" w:rsidRPr="00C574FE">
        <w:t>see Supplementary Materials, p.10</w:t>
      </w:r>
      <w:r w:rsidR="00BC5400" w:rsidRPr="00C574FE">
        <w:t xml:space="preserve">).  Again, in an actual interview such a coarse response would just provide a </w:t>
      </w:r>
      <w:r w:rsidR="004D6B33" w:rsidRPr="00C574FE">
        <w:t>lesser</w:t>
      </w:r>
      <w:r w:rsidR="00BC5400" w:rsidRPr="00C574FE">
        <w:t xml:space="preserve"> degree of specificity than a light or dark response.</w:t>
      </w:r>
    </w:p>
    <w:p w14:paraId="2B849908" w14:textId="756F3DD9" w:rsidR="00BD30E7" w:rsidRPr="00C574FE" w:rsidRDefault="0050527E" w:rsidP="000A24F9">
      <w:pPr>
        <w:ind w:firstLine="426"/>
      </w:pPr>
      <w:r w:rsidRPr="00C574FE">
        <w:t>I</w:t>
      </w:r>
      <w:r w:rsidR="000F6505" w:rsidRPr="00C574FE">
        <w:t xml:space="preserve">n actual investigations any </w:t>
      </w:r>
      <w:r w:rsidR="00577519" w:rsidRPr="00C574FE">
        <w:t xml:space="preserve">variations in detail reported under forced versus </w:t>
      </w:r>
      <w:r w:rsidR="008B7D1A" w:rsidRPr="00C574FE">
        <w:t>open-ended</w:t>
      </w:r>
      <w:r w:rsidR="00577519" w:rsidRPr="00C574FE">
        <w:t xml:space="preserve"> procedures are likely to be shaped by variables such as the stimulus encoding conditions, the </w:t>
      </w:r>
      <w:r w:rsidR="00A34893" w:rsidRPr="00C574FE">
        <w:t>delay between the event and the first interview</w:t>
      </w:r>
      <w:r w:rsidR="00577519" w:rsidRPr="00C574FE">
        <w:t xml:space="preserve"> and</w:t>
      </w:r>
      <w:r w:rsidR="00421D5D" w:rsidRPr="00C574FE">
        <w:t>, as we have noted, the number and nature of the questions asked</w:t>
      </w:r>
      <w:r w:rsidR="00577519" w:rsidRPr="00C574FE">
        <w:t xml:space="preserve">.  </w:t>
      </w:r>
      <w:r w:rsidRPr="00C574FE">
        <w:t xml:space="preserve">In sum, any attempt to make ‘formal’ comparisons between conditions gives rise to an array of classification issues which need to be recognized when examining the data patterns.  </w:t>
      </w:r>
      <w:r w:rsidR="00577519" w:rsidRPr="00C574FE">
        <w:t xml:space="preserve">Having said that, it is </w:t>
      </w:r>
      <w:r w:rsidR="004D2F4D" w:rsidRPr="00C574FE">
        <w:t xml:space="preserve">very </w:t>
      </w:r>
      <w:r w:rsidR="00577519" w:rsidRPr="00C574FE">
        <w:t xml:space="preserve">clear that the </w:t>
      </w:r>
      <w:r w:rsidR="008B7D1A" w:rsidRPr="00C574FE">
        <w:t>open-ended</w:t>
      </w:r>
      <w:r w:rsidR="00577519" w:rsidRPr="00C574FE">
        <w:t xml:space="preserve"> </w:t>
      </w:r>
      <w:r w:rsidR="000F6505" w:rsidRPr="00C574FE">
        <w:t>conditions</w:t>
      </w:r>
      <w:r w:rsidR="00E06B46" w:rsidRPr="00C574FE">
        <w:t xml:space="preserve"> – even</w:t>
      </w:r>
      <w:r w:rsidR="00655B83" w:rsidRPr="00C574FE">
        <w:t xml:space="preserve"> the SAI</w:t>
      </w:r>
      <w:r w:rsidR="00655B83" w:rsidRPr="00C574FE">
        <w:rPr>
          <w:vertAlign w:val="superscript"/>
        </w:rPr>
        <w:t>©</w:t>
      </w:r>
      <w:r w:rsidR="000F6505" w:rsidRPr="00C574FE">
        <w:t xml:space="preserve"> </w:t>
      </w:r>
      <w:r w:rsidR="00E06B46" w:rsidRPr="00C574FE">
        <w:t xml:space="preserve">– </w:t>
      </w:r>
      <w:r w:rsidR="00577519" w:rsidRPr="00C574FE">
        <w:t xml:space="preserve">consistently failed to elicit accurate coarse-grain detail whereas the grain size procedure </w:t>
      </w:r>
      <w:r w:rsidR="005F63DE" w:rsidRPr="00C574FE">
        <w:t xml:space="preserve">used here </w:t>
      </w:r>
      <w:r w:rsidR="00577519" w:rsidRPr="00C574FE">
        <w:t>w</w:t>
      </w:r>
      <w:r w:rsidR="004D2F4D" w:rsidRPr="00C574FE">
        <w:t>as very effective in doing so.</w:t>
      </w:r>
      <w:r w:rsidR="00E06B46" w:rsidRPr="00C574FE">
        <w:t xml:space="preserve">  </w:t>
      </w:r>
    </w:p>
    <w:p w14:paraId="52DBBE96" w14:textId="690DF449" w:rsidR="003F561F" w:rsidRPr="00C574FE" w:rsidRDefault="003F561F" w:rsidP="000A24F9">
      <w:pPr>
        <w:ind w:firstLine="426"/>
      </w:pPr>
      <w:r w:rsidRPr="00C574FE">
        <w:t xml:space="preserve">Nor do we claim that the approach outlined guarantees accurate reporting.  Accuracy rates in all conditions were well below ceiling.  The obvious exception </w:t>
      </w:r>
      <w:r w:rsidR="00654C55" w:rsidRPr="00C574FE">
        <w:t xml:space="preserve">(see Experiment 2 patterns) </w:t>
      </w:r>
      <w:r w:rsidRPr="00C574FE">
        <w:t>was when forced verbal (rather than written) reports were required and coarse-grain item-level confidence was very high.  Under those conditions the information elicited might prov</w:t>
      </w:r>
      <w:r w:rsidR="006906B9" w:rsidRPr="00C574FE">
        <w:t>e a dependable a</w:t>
      </w:r>
      <w:r w:rsidRPr="00C574FE">
        <w:t>id for investigators.</w:t>
      </w:r>
    </w:p>
    <w:p w14:paraId="43905F3A" w14:textId="77777777" w:rsidR="000A5D82" w:rsidRPr="00C574FE" w:rsidRDefault="000A5D82" w:rsidP="000A5D82">
      <w:pPr>
        <w:rPr>
          <w:b/>
        </w:rPr>
      </w:pPr>
      <w:r w:rsidRPr="00C574FE">
        <w:rPr>
          <w:b/>
        </w:rPr>
        <w:t>Future Research</w:t>
      </w:r>
    </w:p>
    <w:p w14:paraId="0750E22E" w14:textId="6765F674" w:rsidR="00A96B87" w:rsidRPr="00C574FE" w:rsidRDefault="00FD0486" w:rsidP="00983A5F">
      <w:pPr>
        <w:ind w:firstLine="426"/>
      </w:pPr>
      <w:r w:rsidRPr="00C574FE">
        <w:t xml:space="preserve">Numerous </w:t>
      </w:r>
      <w:r w:rsidR="00CB5185" w:rsidRPr="00C574FE">
        <w:t>follow-up</w:t>
      </w:r>
      <w:r w:rsidR="004D2F4D" w:rsidRPr="00C574FE">
        <w:t xml:space="preserve"> investigations are </w:t>
      </w:r>
      <w:r w:rsidR="007C7F3E" w:rsidRPr="00C574FE">
        <w:t>suggested</w:t>
      </w:r>
      <w:r w:rsidR="004D2F4D" w:rsidRPr="00C574FE">
        <w:t xml:space="preserve"> by </w:t>
      </w:r>
      <w:r w:rsidR="00CF72E3" w:rsidRPr="00C574FE">
        <w:t>our</w:t>
      </w:r>
      <w:r w:rsidR="004D2F4D" w:rsidRPr="00C574FE">
        <w:t xml:space="preserve"> findings</w:t>
      </w:r>
      <w:r w:rsidR="00DB3780" w:rsidRPr="00C574FE">
        <w:t xml:space="preserve">.  </w:t>
      </w:r>
      <w:r w:rsidR="00CF72E3" w:rsidRPr="00C574FE">
        <w:t>First, f</w:t>
      </w:r>
      <w:r w:rsidR="00DB3780" w:rsidRPr="00C574FE">
        <w:t>or example, w</w:t>
      </w:r>
      <w:r w:rsidR="00E9699F" w:rsidRPr="00C574FE">
        <w:t xml:space="preserve">ould </w:t>
      </w:r>
      <w:r w:rsidR="00DB3780" w:rsidRPr="00C574FE">
        <w:t xml:space="preserve">the </w:t>
      </w:r>
      <w:r w:rsidR="00CF72E3" w:rsidRPr="00C574FE">
        <w:t xml:space="preserve">patterns of results </w:t>
      </w:r>
      <w:r w:rsidR="00DB3780" w:rsidRPr="00C574FE">
        <w:t xml:space="preserve">be exactly the same if the grain size procedure </w:t>
      </w:r>
      <w:r w:rsidR="00E9699F" w:rsidRPr="00C574FE">
        <w:t>was</w:t>
      </w:r>
      <w:r w:rsidR="00DB3780" w:rsidRPr="00C574FE">
        <w:t xml:space="preserve"> combined with (i.e., used immediately following) a</w:t>
      </w:r>
      <w:r w:rsidR="008807DF" w:rsidRPr="00C574FE">
        <w:t xml:space="preserve"> thorough</w:t>
      </w:r>
      <w:r w:rsidR="00DB3780" w:rsidRPr="00C574FE">
        <w:t xml:space="preserve"> open-ended interview</w:t>
      </w:r>
      <w:r w:rsidR="008807DF" w:rsidRPr="00C574FE">
        <w:t xml:space="preserve"> to probe for omitted, but potentially useful, coarse-grain information that may be available to the witness</w:t>
      </w:r>
      <w:r w:rsidR="00DB3780" w:rsidRPr="00C574FE">
        <w:t xml:space="preserve">?  </w:t>
      </w:r>
      <w:r w:rsidR="00CF72E3" w:rsidRPr="00C574FE">
        <w:t>Second, w</w:t>
      </w:r>
      <w:r w:rsidR="00E9699F" w:rsidRPr="00C574FE">
        <w:t>ould</w:t>
      </w:r>
      <w:r w:rsidR="00DB3780" w:rsidRPr="00C574FE">
        <w:t xml:space="preserve"> it make any difference if witnesses </w:t>
      </w:r>
      <w:r w:rsidR="00E9699F" w:rsidRPr="00C574FE">
        <w:t>were</w:t>
      </w:r>
      <w:r w:rsidR="00DB3780" w:rsidRPr="00C574FE">
        <w:t xml:space="preserve"> only probed with </w:t>
      </w:r>
      <w:r w:rsidR="00CF72E3" w:rsidRPr="00C574FE">
        <w:t xml:space="preserve">(and instructed in responding to) </w:t>
      </w:r>
      <w:r w:rsidR="00DB3780" w:rsidRPr="00C574FE">
        <w:t>coarse-grain questions – or might the questioning need to incorporate both coarse- and fine-grain probes</w:t>
      </w:r>
      <w:r w:rsidR="00C0122C">
        <w:t>,</w:t>
      </w:r>
      <w:r w:rsidR="00DB3780" w:rsidRPr="00C574FE">
        <w:t xml:space="preserve"> as happened </w:t>
      </w:r>
      <w:r w:rsidR="00CF72E3" w:rsidRPr="00C574FE">
        <w:t>in our studies</w:t>
      </w:r>
      <w:r w:rsidR="00DB3780" w:rsidRPr="00C574FE">
        <w:t xml:space="preserve"> in order for witnesses’ </w:t>
      </w:r>
      <w:r w:rsidR="00E9699F" w:rsidRPr="00C574FE">
        <w:t xml:space="preserve">to </w:t>
      </w:r>
      <w:r w:rsidR="007F5387" w:rsidRPr="00C574FE">
        <w:t>appreciate fully</w:t>
      </w:r>
      <w:r w:rsidR="00CF72E3" w:rsidRPr="00C574FE">
        <w:t xml:space="preserve"> the distinctions between </w:t>
      </w:r>
      <w:r w:rsidR="00E9699F" w:rsidRPr="00C574FE">
        <w:t>coarse- and fine-grain responses</w:t>
      </w:r>
      <w:r w:rsidR="00DB3780" w:rsidRPr="00C574FE">
        <w:t xml:space="preserve">?  </w:t>
      </w:r>
      <w:r w:rsidRPr="00C574FE">
        <w:t>T</w:t>
      </w:r>
      <w:r w:rsidR="00CF72E3" w:rsidRPr="00C574FE">
        <w:t>hird, w</w:t>
      </w:r>
      <w:r w:rsidR="00E9699F" w:rsidRPr="00C574FE">
        <w:t>ould</w:t>
      </w:r>
      <w:r w:rsidR="00DB3780" w:rsidRPr="00C574FE">
        <w:t xml:space="preserve"> the effectiveness of the procedure be particularly suited to </w:t>
      </w:r>
      <w:r w:rsidR="00940765" w:rsidRPr="00C574FE">
        <w:t>certain</w:t>
      </w:r>
      <w:r w:rsidR="00DB3780" w:rsidRPr="00C574FE">
        <w:t xml:space="preserve"> types of items, an issue that would need to be </w:t>
      </w:r>
      <w:r w:rsidR="00CF72E3" w:rsidRPr="00C574FE">
        <w:t xml:space="preserve">examined systematically </w:t>
      </w:r>
      <w:r w:rsidR="00DB3780" w:rsidRPr="00C574FE">
        <w:t xml:space="preserve">using </w:t>
      </w:r>
      <w:r w:rsidR="00A34893" w:rsidRPr="00C574FE">
        <w:t>pools</w:t>
      </w:r>
      <w:r w:rsidR="00DB3780" w:rsidRPr="00C574FE">
        <w:t xml:space="preserve"> of questions </w:t>
      </w:r>
      <w:r w:rsidR="00CF72E3" w:rsidRPr="00C574FE">
        <w:t xml:space="preserve">that spanned particular </w:t>
      </w:r>
      <w:r w:rsidR="00DB3780" w:rsidRPr="00C574FE">
        <w:t>item categories (e.g., color, numeric</w:t>
      </w:r>
      <w:r w:rsidR="00421D5D" w:rsidRPr="00C574FE">
        <w:t>, a series of physical actions</w:t>
      </w:r>
      <w:r w:rsidR="00DB3780" w:rsidRPr="00C574FE">
        <w:t xml:space="preserve">)?  </w:t>
      </w:r>
      <w:r w:rsidR="00BC5400" w:rsidRPr="00C574FE">
        <w:t xml:space="preserve">Our descriptive examination of witness responses indicated that </w:t>
      </w:r>
      <w:r w:rsidR="00CD5A23" w:rsidRPr="00C574FE">
        <w:t xml:space="preserve">all </w:t>
      </w:r>
      <w:r w:rsidR="00BC5400" w:rsidRPr="00C574FE">
        <w:t>open interview</w:t>
      </w:r>
      <w:r w:rsidR="00CD5A23" w:rsidRPr="00C574FE">
        <w:t xml:space="preserve"> techniques elicited </w:t>
      </w:r>
      <w:r w:rsidR="00BC5400" w:rsidRPr="00C574FE">
        <w:t xml:space="preserve">‘action and sequence’ details </w:t>
      </w:r>
      <w:r w:rsidR="00BC7899" w:rsidRPr="00C574FE">
        <w:t>not readily amenable to grain size probes and hence not picked up by the grain-size procedure</w:t>
      </w:r>
      <w:r w:rsidR="00BC5400" w:rsidRPr="00C574FE">
        <w:t xml:space="preserve">.  </w:t>
      </w:r>
      <w:r w:rsidR="00A34893" w:rsidRPr="00C574FE">
        <w:t xml:space="preserve">Fourth, what might be the impact of a delay between the event and the initial interview?  </w:t>
      </w:r>
      <w:r w:rsidR="00BC7899" w:rsidRPr="00C574FE">
        <w:t xml:space="preserve">And fifth how might the procedure work with child witnesses given their </w:t>
      </w:r>
      <w:r w:rsidR="00C0122C">
        <w:t>proneness to error in response to closed questions</w:t>
      </w:r>
      <w:r w:rsidR="00BC7899" w:rsidRPr="00C574FE">
        <w:t xml:space="preserve">?  </w:t>
      </w:r>
      <w:r w:rsidR="00DB3780" w:rsidRPr="00C574FE">
        <w:t xml:space="preserve">Answers to questions </w:t>
      </w:r>
      <w:r w:rsidR="00E9699F" w:rsidRPr="00C574FE">
        <w:t xml:space="preserve">like </w:t>
      </w:r>
      <w:r w:rsidR="00DB3780" w:rsidRPr="00C574FE">
        <w:t>these are obvio</w:t>
      </w:r>
      <w:r w:rsidR="007C7F3E" w:rsidRPr="00C574FE">
        <w:t>usly</w:t>
      </w:r>
      <w:r w:rsidR="00DB3780" w:rsidRPr="00C574FE">
        <w:t xml:space="preserve"> needed in order to </w:t>
      </w:r>
      <w:r w:rsidR="00E9699F" w:rsidRPr="00C574FE">
        <w:t xml:space="preserve">ensure </w:t>
      </w:r>
      <w:r w:rsidR="00BC7899" w:rsidRPr="00C574FE">
        <w:t xml:space="preserve">when and how </w:t>
      </w:r>
      <w:r w:rsidR="00CF72E3" w:rsidRPr="00C574FE">
        <w:t>a forced report approach such as used in these studies</w:t>
      </w:r>
      <w:r w:rsidR="00E9699F" w:rsidRPr="00C574FE">
        <w:t xml:space="preserve"> could be </w:t>
      </w:r>
      <w:r w:rsidR="00BC7899" w:rsidRPr="00C574FE">
        <w:t xml:space="preserve">best </w:t>
      </w:r>
      <w:r w:rsidR="00E9699F" w:rsidRPr="00C574FE">
        <w:t>integrated with open questioning</w:t>
      </w:r>
      <w:r w:rsidR="00DB3780" w:rsidRPr="00C574FE">
        <w:t>.</w:t>
      </w:r>
    </w:p>
    <w:p w14:paraId="18EF9C0E" w14:textId="3E9EC943" w:rsidR="00577519" w:rsidRPr="00C574FE" w:rsidRDefault="00A96B87" w:rsidP="00983A5F">
      <w:pPr>
        <w:ind w:firstLine="426"/>
      </w:pPr>
      <w:r w:rsidRPr="00C574FE">
        <w:t xml:space="preserve">There are also important issues that might arise should such a procedure be implemented </w:t>
      </w:r>
      <w:r w:rsidR="00FD0486" w:rsidRPr="00C574FE">
        <w:t xml:space="preserve">by </w:t>
      </w:r>
      <w:r w:rsidRPr="00C574FE">
        <w:t>investigat</w:t>
      </w:r>
      <w:r w:rsidR="00FD0486" w:rsidRPr="00C574FE">
        <w:t>ors</w:t>
      </w:r>
      <w:r w:rsidRPr="00C574FE">
        <w:t xml:space="preserve">.  For example, appropriate training and performance monitoring for interviewers would </w:t>
      </w:r>
      <w:r w:rsidR="004A3177" w:rsidRPr="00C574FE">
        <w:t xml:space="preserve">obviously </w:t>
      </w:r>
      <w:r w:rsidRPr="00C574FE">
        <w:t>be critical</w:t>
      </w:r>
      <w:r w:rsidR="004A3177" w:rsidRPr="00C574FE">
        <w:t xml:space="preserve"> for a number of reasons, not the least being </w:t>
      </w:r>
      <w:r w:rsidRPr="00C574FE">
        <w:t xml:space="preserve">to ensure that the procedure </w:t>
      </w:r>
      <w:r w:rsidR="004A3177" w:rsidRPr="00C574FE">
        <w:t>is</w:t>
      </w:r>
      <w:r w:rsidRPr="00C574FE">
        <w:t xml:space="preserve"> not misused </w:t>
      </w:r>
      <w:r w:rsidR="004A3177" w:rsidRPr="00C574FE">
        <w:t>to confirm investigators’ hypotheses about the culprit.  I</w:t>
      </w:r>
      <w:r w:rsidR="007A6DB3" w:rsidRPr="00C574FE">
        <w:t xml:space="preserve">t would also be of interest to examine how lawyers and jurors react to testimonial details elicited using such an approach, and what would be required to ensure the testimony </w:t>
      </w:r>
      <w:r w:rsidR="000C3A97" w:rsidRPr="00C574FE">
        <w:t xml:space="preserve">received </w:t>
      </w:r>
      <w:r w:rsidR="00FD0486" w:rsidRPr="00C574FE">
        <w:t>the</w:t>
      </w:r>
      <w:r w:rsidR="00BC7899" w:rsidRPr="00C574FE">
        <w:t>ir</w:t>
      </w:r>
      <w:r w:rsidR="00FD0486" w:rsidRPr="00C574FE">
        <w:t xml:space="preserve"> thoughtful </w:t>
      </w:r>
      <w:r w:rsidR="000C3A97" w:rsidRPr="00C574FE">
        <w:t>consideration.</w:t>
      </w:r>
    </w:p>
    <w:p w14:paraId="6D0740C9" w14:textId="6C966B2C" w:rsidR="00C14D72" w:rsidRPr="00C574FE" w:rsidRDefault="00421D5D" w:rsidP="00983A5F">
      <w:pPr>
        <w:ind w:firstLine="426"/>
      </w:pPr>
      <w:r w:rsidRPr="00C574FE">
        <w:t xml:space="preserve">The importance of investigating just how such a procedure might be best integrated with open-ended questioning </w:t>
      </w:r>
      <w:r w:rsidR="00BA2D97" w:rsidRPr="00C574FE">
        <w:t xml:space="preserve">can be </w:t>
      </w:r>
      <w:r w:rsidR="00BC7899" w:rsidRPr="00C574FE">
        <w:t>highlighte</w:t>
      </w:r>
      <w:r w:rsidR="00BA2D97" w:rsidRPr="00C574FE">
        <w:t>d b</w:t>
      </w:r>
      <w:r w:rsidR="001B0677" w:rsidRPr="00C574FE">
        <w:t xml:space="preserve">y considering an </w:t>
      </w:r>
      <w:r w:rsidRPr="00C574FE">
        <w:t xml:space="preserve">example of how misleading reports might be elicited.  </w:t>
      </w:r>
      <w:r w:rsidR="00E1527C" w:rsidRPr="00C574FE">
        <w:t xml:space="preserve">First, in an actual case where the ground truth </w:t>
      </w:r>
      <w:r w:rsidR="005E1140" w:rsidRPr="00C574FE">
        <w:t xml:space="preserve">of a certain detail </w:t>
      </w:r>
      <w:r w:rsidR="00E1527C" w:rsidRPr="00C574FE">
        <w:t xml:space="preserve">is not known, a question such as </w:t>
      </w:r>
      <w:r w:rsidR="00E1527C" w:rsidRPr="00C574FE">
        <w:rPr>
          <w:i/>
        </w:rPr>
        <w:t>what was the color of the beanie worn by the robber near the door?</w:t>
      </w:r>
      <w:r w:rsidR="00E1527C" w:rsidRPr="00C574FE">
        <w:t xml:space="preserve"> </w:t>
      </w:r>
      <w:r w:rsidR="005E1140" w:rsidRPr="00C574FE">
        <w:t>may</w:t>
      </w:r>
      <w:r w:rsidR="00E1527C" w:rsidRPr="00C574FE">
        <w:t xml:space="preserve"> lead to witnesses reporting something they had never observed.  </w:t>
      </w:r>
      <w:r w:rsidR="00C14D72" w:rsidRPr="00C574FE">
        <w:t>Of course, as already noted, open-ended interviews are also not immune to the production of confabulations.  It has been well documented that cognitive schema can shape memory reports (e.g., Tuckey &amp; Brewer, 2003), something that was illustrated in Experiments 1</w:t>
      </w:r>
      <w:r w:rsidR="00FD0486" w:rsidRPr="00C574FE">
        <w:t xml:space="preserve"> and 2</w:t>
      </w:r>
      <w:r w:rsidR="00C14D72" w:rsidRPr="00C574FE">
        <w:t xml:space="preserve"> by witnesses reporting the presence of a (non-existent) weapon.  That aside, i</w:t>
      </w:r>
      <w:r w:rsidR="00BA2D97" w:rsidRPr="00C574FE">
        <w:t xml:space="preserve">n a forensic setting </w:t>
      </w:r>
      <w:r w:rsidR="00C14D72" w:rsidRPr="00C574FE">
        <w:t>any forced-choice probes</w:t>
      </w:r>
      <w:r w:rsidR="00E1527C" w:rsidRPr="00C574FE">
        <w:t xml:space="preserve"> </w:t>
      </w:r>
      <w:r w:rsidR="00490EBC" w:rsidRPr="00C574FE">
        <w:t xml:space="preserve">for coarse grain detail </w:t>
      </w:r>
      <w:r w:rsidR="00E1527C" w:rsidRPr="00C574FE">
        <w:t xml:space="preserve">would </w:t>
      </w:r>
      <w:r w:rsidR="004D6B33" w:rsidRPr="00C574FE">
        <w:t>have</w:t>
      </w:r>
      <w:r w:rsidR="00E1527C" w:rsidRPr="00C574FE">
        <w:t xml:space="preserve"> to follow a preliminary scoping of information about the event and the people involved</w:t>
      </w:r>
      <w:r w:rsidR="00C14D72" w:rsidRPr="00C574FE">
        <w:t xml:space="preserve"> using </w:t>
      </w:r>
      <w:r w:rsidR="005E1140" w:rsidRPr="00C574FE">
        <w:t xml:space="preserve">the </w:t>
      </w:r>
      <w:r w:rsidR="00C14D72" w:rsidRPr="00C574FE">
        <w:t xml:space="preserve">recommended open-ended interviewing approach.  Thus, a witness who volunteered </w:t>
      </w:r>
      <w:r w:rsidR="005E1140" w:rsidRPr="00C574FE">
        <w:t xml:space="preserve">under open-ended questioning or prompting </w:t>
      </w:r>
      <w:r w:rsidR="00C14D72" w:rsidRPr="00C574FE">
        <w:t>that a perpetrator was wearing some form of headwear, but failed to provide any further detail</w:t>
      </w:r>
      <w:r w:rsidR="00490EBC" w:rsidRPr="00C574FE">
        <w:t xml:space="preserve"> about the headwear</w:t>
      </w:r>
      <w:r w:rsidR="00C14D72" w:rsidRPr="00C574FE">
        <w:t>, could be probed as to whether the</w:t>
      </w:r>
      <w:r w:rsidR="005E1140" w:rsidRPr="00C574FE">
        <w:t xml:space="preserve"> headwear </w:t>
      </w:r>
      <w:r w:rsidR="00C14D72" w:rsidRPr="00C574FE">
        <w:t>was hard-soft, large-small, and dark-light-colorful.</w:t>
      </w:r>
      <w:r w:rsidR="005E1140" w:rsidRPr="00C574FE">
        <w:t xml:space="preserve">  </w:t>
      </w:r>
      <w:r w:rsidR="002157C2" w:rsidRPr="00C574FE">
        <w:t xml:space="preserve">Or a witness who referred to a getaway car, but provided no further detail, might be probed as to whether it was large-small, dark-light, old-new, etc.  </w:t>
      </w:r>
      <w:r w:rsidR="00490EBC" w:rsidRPr="00C574FE">
        <w:t xml:space="preserve">The number of forced-choice probes used by an investigator would be dictated by the </w:t>
      </w:r>
      <w:r w:rsidR="00E32702" w:rsidRPr="00C574FE">
        <w:t xml:space="preserve">specific items of </w:t>
      </w:r>
      <w:r w:rsidR="00490EBC" w:rsidRPr="00C574FE">
        <w:t>information elicited by open-ended questioning</w:t>
      </w:r>
      <w:r w:rsidR="00E32702" w:rsidRPr="00C574FE">
        <w:t xml:space="preserve">, the level of detail provided in those items, and whether a coarse-grain probe was </w:t>
      </w:r>
      <w:r w:rsidR="00CA24F5" w:rsidRPr="00C574FE">
        <w:t>compatible with the nature of the item</w:t>
      </w:r>
      <w:r w:rsidR="00E32702" w:rsidRPr="00C574FE">
        <w:t>.  Th</w:t>
      </w:r>
      <w:r w:rsidR="00CA24F5" w:rsidRPr="00C574FE">
        <w:t>us, an inve</w:t>
      </w:r>
      <w:r w:rsidR="002157C2" w:rsidRPr="00C574FE">
        <w:t>s</w:t>
      </w:r>
      <w:r w:rsidR="00CA24F5" w:rsidRPr="00C574FE">
        <w:t xml:space="preserve">tigator </w:t>
      </w:r>
      <w:r w:rsidR="00E32702" w:rsidRPr="00C574FE">
        <w:t xml:space="preserve">might </w:t>
      </w:r>
      <w:r w:rsidR="00CA24F5" w:rsidRPr="00C574FE">
        <w:t xml:space="preserve">use </w:t>
      </w:r>
      <w:r w:rsidR="00E32702" w:rsidRPr="00C574FE">
        <w:t>one probe or several.</w:t>
      </w:r>
      <w:r w:rsidR="00CA24F5" w:rsidRPr="00C574FE">
        <w:t xml:space="preserve">  </w:t>
      </w:r>
    </w:p>
    <w:p w14:paraId="52FDCCEB" w14:textId="6199A8E1" w:rsidR="00FF5EAA" w:rsidRPr="00C574FE" w:rsidRDefault="00FD0486" w:rsidP="00983A5F">
      <w:pPr>
        <w:ind w:firstLine="426"/>
      </w:pPr>
      <w:r w:rsidRPr="00C574FE">
        <w:t>Despite the many unresolved issues t</w:t>
      </w:r>
      <w:r w:rsidR="0095091A" w:rsidRPr="00C574FE">
        <w:t xml:space="preserve">hese studies </w:t>
      </w:r>
      <w:r w:rsidR="009B4955" w:rsidRPr="00C574FE">
        <w:t>show</w:t>
      </w:r>
      <w:r w:rsidR="00D1024C" w:rsidRPr="00C574FE">
        <w:t xml:space="preserve"> </w:t>
      </w:r>
      <w:r w:rsidR="0095091A" w:rsidRPr="00C574FE">
        <w:t xml:space="preserve">that there may well be a considerable amount of potentially </w:t>
      </w:r>
      <w:r w:rsidR="00856568" w:rsidRPr="00C574FE">
        <w:t xml:space="preserve">very </w:t>
      </w:r>
      <w:r w:rsidR="0095091A" w:rsidRPr="00C574FE">
        <w:t>useful coarse-grain information tucked away in witnesses’ memories that may be accessible but unlikely to be reported spontaneously.</w:t>
      </w:r>
      <w:r w:rsidR="007F5387" w:rsidRPr="00C574FE">
        <w:t xml:space="preserve">  Perhaps some of this information might be access</w:t>
      </w:r>
      <w:r w:rsidR="009B4955" w:rsidRPr="00C574FE">
        <w:t>ed</w:t>
      </w:r>
      <w:r w:rsidR="007F5387" w:rsidRPr="00C574FE">
        <w:t xml:space="preserve"> using specially tailored instructions or payoffs (though the latter seems </w:t>
      </w:r>
      <w:r w:rsidR="00894BA5" w:rsidRPr="00C574FE">
        <w:t>impractical</w:t>
      </w:r>
      <w:r w:rsidR="007F5387" w:rsidRPr="00C574FE">
        <w:t xml:space="preserve"> in applied situations)</w:t>
      </w:r>
      <w:r w:rsidR="00894BA5" w:rsidRPr="00C574FE">
        <w:t>.  Though, given the relatively modest changes in coarse-grain reporting seen in studies such as McCallum et al. (2016), it seems unlikely that such manipulations could produce the gains in coarse-grain reporting observed here under forced reporting.</w:t>
      </w:r>
      <w:r w:rsidR="0095091A" w:rsidRPr="00C574FE">
        <w:t xml:space="preserve">  </w:t>
      </w:r>
      <w:r w:rsidR="00894BA5" w:rsidRPr="00C574FE">
        <w:t xml:space="preserve">One obstacle to identifying alternative manipulations for improving coarse-grain reporting is our limited understanding of </w:t>
      </w:r>
      <w:r w:rsidR="00FF5EAA" w:rsidRPr="00C574FE">
        <w:t xml:space="preserve">why this information is not reported </w:t>
      </w:r>
      <w:r w:rsidR="00856568" w:rsidRPr="00C574FE">
        <w:t>spontaneously</w:t>
      </w:r>
      <w:r w:rsidR="00FF5EAA" w:rsidRPr="00C574FE">
        <w:t xml:space="preserve">.  </w:t>
      </w:r>
      <w:r w:rsidR="000D3331" w:rsidRPr="00C574FE">
        <w:t xml:space="preserve">It has been suggested </w:t>
      </w:r>
      <w:r w:rsidR="008007CD" w:rsidRPr="00C574FE">
        <w:t xml:space="preserve">in research on memory reporting in other domains that </w:t>
      </w:r>
      <w:r w:rsidR="000D3331" w:rsidRPr="00C574FE">
        <w:t xml:space="preserve">coarse-grain information may be perceived as </w:t>
      </w:r>
      <w:r w:rsidR="008007CD" w:rsidRPr="00C574FE">
        <w:t>un</w:t>
      </w:r>
      <w:r w:rsidR="000D3331" w:rsidRPr="00C574FE">
        <w:t>informative</w:t>
      </w:r>
      <w:r w:rsidR="008007CD" w:rsidRPr="00C574FE">
        <w:t xml:space="preserve"> and hence not worth reporting (Ackerman &amp; Goldsmith, 2008).  It has also been reported that witnesses to a mock-crime sometimes show a bias towards reporting fine-grain information, and under-reporting coarse-grain, with this bias appearing stronger when financial and social consequences contingent on memory reporting were minimal (McCallum et al., 2016).  </w:t>
      </w:r>
      <w:r w:rsidR="009B4955" w:rsidRPr="00C574FE">
        <w:t>W</w:t>
      </w:r>
      <w:r w:rsidR="008007CD" w:rsidRPr="00C574FE">
        <w:t xml:space="preserve">e need research that </w:t>
      </w:r>
      <w:r w:rsidR="006B756F" w:rsidRPr="00C574FE">
        <w:t>refines our understanding of how witnesses’ perceptions of informativeness are shaped and, in turn, points to ways of encouraging reporting that ensures that potentially informative items of information – whether coarse- or fine-grain – are brought to the fore.</w:t>
      </w:r>
      <w:r w:rsidR="004F6AED" w:rsidRPr="00C574FE">
        <w:t xml:space="preserve">  </w:t>
      </w:r>
    </w:p>
    <w:p w14:paraId="0DD56B49" w14:textId="77777777" w:rsidR="000A5D82" w:rsidRPr="00C574FE" w:rsidRDefault="000A5D82" w:rsidP="000A5D82">
      <w:pPr>
        <w:rPr>
          <w:b/>
        </w:rPr>
      </w:pPr>
      <w:r w:rsidRPr="00C574FE">
        <w:rPr>
          <w:b/>
        </w:rPr>
        <w:t>C</w:t>
      </w:r>
      <w:r w:rsidR="004F6AED" w:rsidRPr="00C574FE">
        <w:rPr>
          <w:b/>
        </w:rPr>
        <w:t>onclusion</w:t>
      </w:r>
    </w:p>
    <w:p w14:paraId="6DAB4496" w14:textId="41F30558" w:rsidR="00386659" w:rsidRPr="00C574FE" w:rsidRDefault="000A5D82" w:rsidP="002E561B">
      <w:pPr>
        <w:ind w:firstLine="426"/>
        <w:rPr>
          <w:rFonts w:eastAsia="Times New Roman"/>
        </w:rPr>
      </w:pPr>
      <w:r w:rsidRPr="00C574FE">
        <w:t>W</w:t>
      </w:r>
      <w:r w:rsidR="004F6AED" w:rsidRPr="00C574FE">
        <w:t xml:space="preserve">e believe that the science </w:t>
      </w:r>
      <w:r w:rsidR="004F6AED" w:rsidRPr="00C574FE">
        <w:rPr>
          <w:rFonts w:eastAsia="Times New Roman"/>
        </w:rPr>
        <w:t>of investigative interviewing is likely to be advanced by devising and evaluating novel approaches.  Some of these approaches might prove to be generally applicable</w:t>
      </w:r>
      <w:r w:rsidR="00415E50" w:rsidRPr="00C574FE">
        <w:rPr>
          <w:rFonts w:eastAsia="Times New Roman"/>
        </w:rPr>
        <w:t>.  O</w:t>
      </w:r>
      <w:r w:rsidR="004F6AED" w:rsidRPr="00C574FE">
        <w:rPr>
          <w:rFonts w:eastAsia="Times New Roman"/>
        </w:rPr>
        <w:t xml:space="preserve">thers might be </w:t>
      </w:r>
      <w:r w:rsidR="00415E50" w:rsidRPr="00C574FE">
        <w:rPr>
          <w:rFonts w:eastAsia="Times New Roman"/>
        </w:rPr>
        <w:t xml:space="preserve">most </w:t>
      </w:r>
      <w:r w:rsidR="004F6AED" w:rsidRPr="00C574FE">
        <w:rPr>
          <w:rFonts w:eastAsia="Times New Roman"/>
        </w:rPr>
        <w:t>appropriate</w:t>
      </w:r>
      <w:r w:rsidR="002157C2" w:rsidRPr="00C574FE">
        <w:rPr>
          <w:rFonts w:eastAsia="Times New Roman"/>
        </w:rPr>
        <w:t>ly used</w:t>
      </w:r>
      <w:r w:rsidR="004F6AED" w:rsidRPr="00C574FE">
        <w:rPr>
          <w:rFonts w:eastAsia="Times New Roman"/>
        </w:rPr>
        <w:t xml:space="preserve"> given </w:t>
      </w:r>
      <w:r w:rsidR="002E561B" w:rsidRPr="00C574FE">
        <w:rPr>
          <w:rFonts w:eastAsia="Times New Roman"/>
        </w:rPr>
        <w:t xml:space="preserve">the </w:t>
      </w:r>
      <w:r w:rsidR="004F6AED" w:rsidRPr="00C574FE">
        <w:rPr>
          <w:rFonts w:eastAsia="Times New Roman"/>
        </w:rPr>
        <w:t>particular circumstances</w:t>
      </w:r>
      <w:r w:rsidR="002E561B" w:rsidRPr="00C574FE">
        <w:rPr>
          <w:rFonts w:eastAsia="Times New Roman"/>
        </w:rPr>
        <w:t xml:space="preserve"> of an investigation</w:t>
      </w:r>
      <w:r w:rsidR="004F6AED" w:rsidRPr="00C574FE">
        <w:rPr>
          <w:rFonts w:eastAsia="Times New Roman"/>
        </w:rPr>
        <w:t xml:space="preserve">.  </w:t>
      </w:r>
      <w:r w:rsidR="002E561B" w:rsidRPr="00C574FE">
        <w:rPr>
          <w:rFonts w:eastAsia="Times New Roman"/>
        </w:rPr>
        <w:t xml:space="preserve">Or procedures such as we have trialed here might be useful for certain individuals.  For example, some individuals (e.g., those with ASD) have difficulty with open-ended procedures such as the CI, and benefit when support for retrieval is provided at test by providing more cues to the to-be-remembered information (Bowler, Gardiner, &amp; Berthollier, 2004; Maras &amp; Bowler, 2010).  </w:t>
      </w:r>
      <w:r w:rsidR="004F6AED" w:rsidRPr="00C574FE">
        <w:rPr>
          <w:rFonts w:eastAsia="Times New Roman"/>
        </w:rPr>
        <w:t xml:space="preserve">It </w:t>
      </w:r>
      <w:r w:rsidR="002157C2" w:rsidRPr="00C574FE">
        <w:rPr>
          <w:rFonts w:eastAsia="Times New Roman"/>
        </w:rPr>
        <w:t>seems</w:t>
      </w:r>
      <w:r w:rsidR="004F6AED" w:rsidRPr="00C574FE">
        <w:rPr>
          <w:rFonts w:eastAsia="Times New Roman"/>
        </w:rPr>
        <w:t xml:space="preserve"> most unlikely that any </w:t>
      </w:r>
      <w:r w:rsidR="00415E50" w:rsidRPr="00C574FE">
        <w:rPr>
          <w:rFonts w:eastAsia="Times New Roman"/>
        </w:rPr>
        <w:t xml:space="preserve">approach </w:t>
      </w:r>
      <w:r w:rsidR="004F6AED" w:rsidRPr="00C574FE">
        <w:rPr>
          <w:rFonts w:eastAsia="Times New Roman"/>
        </w:rPr>
        <w:t xml:space="preserve">will guarantee error-free performance.  Thus, regardless of the interviewing approach(es) adopted, a critical focus </w:t>
      </w:r>
      <w:r w:rsidR="00415E50" w:rsidRPr="00C574FE">
        <w:rPr>
          <w:rFonts w:eastAsia="Times New Roman"/>
        </w:rPr>
        <w:t xml:space="preserve">for the </w:t>
      </w:r>
      <w:r w:rsidR="004F6AED" w:rsidRPr="00C574FE">
        <w:rPr>
          <w:rFonts w:eastAsia="Times New Roman"/>
        </w:rPr>
        <w:t xml:space="preserve">field </w:t>
      </w:r>
      <w:r w:rsidR="00415E50" w:rsidRPr="00C574FE">
        <w:rPr>
          <w:rFonts w:eastAsia="Times New Roman"/>
        </w:rPr>
        <w:t xml:space="preserve">should be finding ways of ensuring that </w:t>
      </w:r>
      <w:r w:rsidR="004F6AED" w:rsidRPr="00C574FE">
        <w:rPr>
          <w:rFonts w:eastAsia="Times New Roman"/>
        </w:rPr>
        <w:t xml:space="preserve">practitioners clearly appreciate the limitations of </w:t>
      </w:r>
      <w:r w:rsidR="009B4955" w:rsidRPr="00C574FE">
        <w:rPr>
          <w:rFonts w:eastAsia="Times New Roman"/>
        </w:rPr>
        <w:t>any</w:t>
      </w:r>
      <w:r w:rsidR="004F6AED" w:rsidRPr="00C574FE">
        <w:rPr>
          <w:rFonts w:eastAsia="Times New Roman"/>
        </w:rPr>
        <w:t xml:space="preserve"> memory report data they </w:t>
      </w:r>
      <w:r w:rsidR="00415E50" w:rsidRPr="00C574FE">
        <w:rPr>
          <w:rFonts w:eastAsia="Times New Roman"/>
        </w:rPr>
        <w:t>manage to elicit</w:t>
      </w:r>
      <w:r w:rsidR="004F6AED" w:rsidRPr="00C574FE">
        <w:rPr>
          <w:rFonts w:eastAsia="Times New Roman"/>
        </w:rPr>
        <w:t>.</w:t>
      </w:r>
    </w:p>
    <w:p w14:paraId="6996F585" w14:textId="4153A592" w:rsidR="00E90AB0" w:rsidRPr="00C574FE" w:rsidRDefault="00E90AB0">
      <w:pPr>
        <w:tabs>
          <w:tab w:val="clear" w:pos="8640"/>
        </w:tabs>
        <w:spacing w:line="240" w:lineRule="auto"/>
        <w:rPr>
          <w:rFonts w:eastAsia="Times New Roman"/>
        </w:rPr>
      </w:pPr>
      <w:r w:rsidRPr="00C574FE">
        <w:rPr>
          <w:rFonts w:eastAsia="Times New Roman"/>
        </w:rPr>
        <w:br w:type="page"/>
      </w:r>
    </w:p>
    <w:p w14:paraId="00B6F850" w14:textId="37A03C4F" w:rsidR="008407AF" w:rsidRPr="00C574FE" w:rsidRDefault="008407AF" w:rsidP="008407AF">
      <w:pPr>
        <w:pStyle w:val="BodyText"/>
        <w:ind w:firstLine="0"/>
        <w:jc w:val="center"/>
      </w:pPr>
      <w:r w:rsidRPr="00C574FE">
        <w:t>References</w:t>
      </w:r>
    </w:p>
    <w:p w14:paraId="1C36A30B" w14:textId="77777777" w:rsidR="00D008EE" w:rsidRPr="00C574FE" w:rsidRDefault="00D008EE" w:rsidP="00D008EE">
      <w:pPr>
        <w:pStyle w:val="ANPhDThesisTitlePage"/>
        <w:ind w:left="426" w:hanging="426"/>
        <w:rPr>
          <w:szCs w:val="24"/>
        </w:rPr>
      </w:pPr>
      <w:r w:rsidRPr="00C574FE">
        <w:rPr>
          <w:szCs w:val="24"/>
        </w:rPr>
        <w:t xml:space="preserve">Ackerman, R., &amp; Goldsmith, M. (2008). Control over grain size in memory reporting: With and without satisficing knowledge. </w:t>
      </w:r>
      <w:r w:rsidRPr="00C574FE">
        <w:rPr>
          <w:i/>
          <w:szCs w:val="24"/>
        </w:rPr>
        <w:t>Journal of Experimental Psychology: Learning, Memory, and Cognition</w:t>
      </w:r>
      <w:r w:rsidRPr="00C574FE">
        <w:rPr>
          <w:szCs w:val="24"/>
        </w:rPr>
        <w:t xml:space="preserve">, </w:t>
      </w:r>
      <w:r w:rsidRPr="00C574FE">
        <w:rPr>
          <w:i/>
          <w:szCs w:val="24"/>
        </w:rPr>
        <w:t>34</w:t>
      </w:r>
      <w:r w:rsidRPr="00C574FE">
        <w:rPr>
          <w:szCs w:val="24"/>
        </w:rPr>
        <w:t xml:space="preserve">, 1224-1245. </w:t>
      </w:r>
      <w:r w:rsidRPr="00C574FE">
        <w:rPr>
          <w:color w:val="333333"/>
          <w:szCs w:val="24"/>
          <w:shd w:val="clear" w:color="auto" w:fill="FFFFFF"/>
        </w:rPr>
        <w:t>doi:  10.1037/a0012938 </w:t>
      </w:r>
    </w:p>
    <w:p w14:paraId="77199111" w14:textId="77777777" w:rsidR="00D008EE" w:rsidRPr="00C574FE" w:rsidRDefault="00D008EE" w:rsidP="00D008EE">
      <w:pPr>
        <w:ind w:left="426" w:hanging="426"/>
      </w:pPr>
      <w:r w:rsidRPr="00C574FE">
        <w:t xml:space="preserve">Bell, B. E., &amp; Loftus, E. F. (1988). Degree of detail of eyewitness testimony and mock juror judgments. </w:t>
      </w:r>
      <w:r w:rsidRPr="00C574FE">
        <w:rPr>
          <w:i/>
          <w:iCs/>
        </w:rPr>
        <w:t>Journal of Applied Social Psychology</w:t>
      </w:r>
      <w:r w:rsidRPr="00C574FE">
        <w:t xml:space="preserve">, </w:t>
      </w:r>
      <w:r w:rsidRPr="00C574FE">
        <w:rPr>
          <w:i/>
          <w:iCs/>
        </w:rPr>
        <w:t>18</w:t>
      </w:r>
      <w:r w:rsidRPr="00C574FE">
        <w:t>, 1171-1192. doi: 10.1111/j.1559-1816.1988.tb01200.x  </w:t>
      </w:r>
    </w:p>
    <w:p w14:paraId="2ADF4299" w14:textId="77777777" w:rsidR="00D008EE" w:rsidRPr="00C574FE" w:rsidRDefault="00D008EE" w:rsidP="00D008EE">
      <w:pPr>
        <w:ind w:left="426" w:hanging="426"/>
      </w:pPr>
      <w:r w:rsidRPr="00C574FE">
        <w:t xml:space="preserve">Bell, B. E., &amp; Loftus, E. F. (1989). Trivial persuasion in the courtroom: The power of (a few) minor details. </w:t>
      </w:r>
      <w:r w:rsidRPr="00C574FE">
        <w:rPr>
          <w:i/>
          <w:iCs/>
        </w:rPr>
        <w:t>Journal of Personality and Social Psychology</w:t>
      </w:r>
      <w:r w:rsidRPr="00C574FE">
        <w:t xml:space="preserve">, </w:t>
      </w:r>
      <w:r w:rsidRPr="00C574FE">
        <w:rPr>
          <w:i/>
          <w:iCs/>
        </w:rPr>
        <w:t>56</w:t>
      </w:r>
      <w:r w:rsidRPr="00C574FE">
        <w:t>, 669-679. doi: 10.1037/0022-3514.56.5.669 </w:t>
      </w:r>
    </w:p>
    <w:p w14:paraId="520AA027" w14:textId="77777777" w:rsidR="00D008EE" w:rsidRPr="00C574FE" w:rsidRDefault="00D008EE" w:rsidP="00D008EE">
      <w:pPr>
        <w:pStyle w:val="ANPhDThesisTitlePage"/>
        <w:ind w:left="426" w:hanging="426"/>
        <w:rPr>
          <w:szCs w:val="24"/>
        </w:rPr>
      </w:pPr>
      <w:r w:rsidRPr="00C574FE">
        <w:rPr>
          <w:color w:val="000000"/>
          <w:szCs w:val="24"/>
        </w:rPr>
        <w:t xml:space="preserve">Bowler, D. M., Gardiner, J. M., &amp; Berthollier, N. (2004). Source memory in adolescents and adults with Asperger’s syndrome. </w:t>
      </w:r>
      <w:r w:rsidRPr="00C574FE">
        <w:rPr>
          <w:i/>
          <w:color w:val="000000"/>
          <w:szCs w:val="24"/>
        </w:rPr>
        <w:t>Journal of Autism and Developmental Disorders, 34</w:t>
      </w:r>
      <w:r w:rsidRPr="00C574FE">
        <w:rPr>
          <w:color w:val="000000"/>
          <w:szCs w:val="24"/>
        </w:rPr>
        <w:t xml:space="preserve">, 533-542. doi: </w:t>
      </w:r>
      <w:r w:rsidRPr="00C574FE">
        <w:rPr>
          <w:color w:val="000000"/>
          <w:szCs w:val="24"/>
          <w:lang w:val="en-US"/>
        </w:rPr>
        <w:t>10.1007/s10803-004-2548-7 </w:t>
      </w:r>
    </w:p>
    <w:p w14:paraId="7DF9F2BB" w14:textId="77777777" w:rsidR="00FD40C7" w:rsidRPr="00C574FE" w:rsidRDefault="00FD40C7" w:rsidP="00FD40C7">
      <w:pPr>
        <w:pStyle w:val="BodyTextIndent3"/>
        <w:ind w:left="567" w:hanging="567"/>
        <w:rPr>
          <w:sz w:val="24"/>
          <w:szCs w:val="24"/>
        </w:rPr>
      </w:pPr>
      <w:r w:rsidRPr="00C574FE">
        <w:rPr>
          <w:sz w:val="24"/>
          <w:szCs w:val="24"/>
        </w:rPr>
        <w:t xml:space="preserve">Brewer, N., &amp; Wells, G. L. (2006).  The confidence-accuracy relationship in eyewitness identification: Effects of lineup instructions, foil similarity and target-absent base rates.  </w:t>
      </w:r>
      <w:r w:rsidRPr="00C574FE">
        <w:rPr>
          <w:i/>
          <w:iCs/>
          <w:sz w:val="24"/>
          <w:szCs w:val="24"/>
        </w:rPr>
        <w:t>Journal of Experimental Psychology: Applied, 12</w:t>
      </w:r>
      <w:r w:rsidRPr="00C574FE">
        <w:rPr>
          <w:sz w:val="24"/>
          <w:szCs w:val="24"/>
        </w:rPr>
        <w:t>, 11-30.</w:t>
      </w:r>
    </w:p>
    <w:p w14:paraId="7CAED753" w14:textId="336ADDAD" w:rsidR="00D008EE" w:rsidRPr="00C574FE" w:rsidRDefault="00D008EE" w:rsidP="00D008EE">
      <w:pPr>
        <w:tabs>
          <w:tab w:val="left" w:pos="567"/>
        </w:tabs>
        <w:ind w:left="426" w:hanging="426"/>
      </w:pPr>
      <w:r w:rsidRPr="00C574FE">
        <w:t xml:space="preserve">Christianson, S-A. (1992). Emotional stress and eyewitness memory: A critical review.  </w:t>
      </w:r>
      <w:r w:rsidRPr="00C574FE">
        <w:rPr>
          <w:i/>
        </w:rPr>
        <w:t>Psychological Bulletin, 112</w:t>
      </w:r>
      <w:r w:rsidRPr="00C574FE">
        <w:t>, 284-309. doi: 10.1037/0033-2909.112.2.284 </w:t>
      </w:r>
    </w:p>
    <w:p w14:paraId="5A877F37" w14:textId="77777777" w:rsidR="00D008EE" w:rsidRPr="00C574FE" w:rsidRDefault="00D008EE" w:rsidP="00D008EE">
      <w:pPr>
        <w:tabs>
          <w:tab w:val="left" w:pos="567"/>
        </w:tabs>
        <w:ind w:left="426" w:hanging="426"/>
      </w:pPr>
      <w:r w:rsidRPr="00C574FE">
        <w:t xml:space="preserve">Douglass, A. B., Brewer, N., Semmler, C., Bustamante, L., &amp; Hiley, A. (2013).  The dynamic interaction between eyewitnesses and interviewers: The impact of differences in perspective on memory reports and interviewer behavior.  </w:t>
      </w:r>
      <w:r w:rsidRPr="00C574FE">
        <w:rPr>
          <w:i/>
        </w:rPr>
        <w:t>Law and Human Behavior</w:t>
      </w:r>
      <w:r w:rsidRPr="00C574FE">
        <w:t xml:space="preserve">, </w:t>
      </w:r>
      <w:r w:rsidRPr="00C574FE">
        <w:rPr>
          <w:i/>
        </w:rPr>
        <w:t>37</w:t>
      </w:r>
      <w:r w:rsidRPr="00C574FE">
        <w:t>, 290-301. doi: 10.1037/lhb0000034 </w:t>
      </w:r>
    </w:p>
    <w:p w14:paraId="1B2848C2" w14:textId="77777777" w:rsidR="00D008EE" w:rsidRPr="00C574FE" w:rsidRDefault="00D008EE" w:rsidP="00D008EE">
      <w:pPr>
        <w:pStyle w:val="ANPhDThesisTitlePage"/>
        <w:ind w:left="426" w:hanging="426"/>
      </w:pPr>
      <w:r w:rsidRPr="00C574FE">
        <w:t xml:space="preserve">Fisher, R.P., Falkner, K. L., Trevisan, M., &amp; McCauley, M. R. (2000). Adapting the cognitive interview to enhance long-term (35 years) recall of physical activities. </w:t>
      </w:r>
      <w:r w:rsidRPr="00C574FE">
        <w:rPr>
          <w:i/>
        </w:rPr>
        <w:t>Journal of Applied Psychology, 85</w:t>
      </w:r>
      <w:r w:rsidRPr="00C574FE">
        <w:t xml:space="preserve">, 180-189. doi: </w:t>
      </w:r>
      <w:r w:rsidRPr="00C574FE">
        <w:rPr>
          <w:lang w:val="en-US"/>
        </w:rPr>
        <w:t>10.1037/0021-9010.85.2.180 </w:t>
      </w:r>
    </w:p>
    <w:p w14:paraId="737C03E7" w14:textId="77777777" w:rsidR="00D008EE" w:rsidRPr="00C574FE" w:rsidRDefault="00D008EE" w:rsidP="00D008EE">
      <w:pPr>
        <w:pStyle w:val="ANPhDThesisTitlePage"/>
        <w:ind w:left="426" w:hanging="426"/>
        <w:rPr>
          <w:szCs w:val="24"/>
        </w:rPr>
      </w:pPr>
      <w:r w:rsidRPr="00C574FE">
        <w:rPr>
          <w:szCs w:val="24"/>
        </w:rPr>
        <w:t xml:space="preserve">Fisher, R. P., &amp; Geiselman, R. E. (1992). </w:t>
      </w:r>
      <w:r w:rsidRPr="00C574FE">
        <w:rPr>
          <w:i/>
          <w:szCs w:val="24"/>
        </w:rPr>
        <w:t>Memory-enhancing techniques for investigative interviewing: The cognitive interview</w:t>
      </w:r>
      <w:r w:rsidRPr="00C574FE">
        <w:rPr>
          <w:szCs w:val="24"/>
        </w:rPr>
        <w:t>. Springfield, Illinois: Charles C. Thomas.</w:t>
      </w:r>
    </w:p>
    <w:p w14:paraId="77AEB56B" w14:textId="77777777" w:rsidR="00D008EE" w:rsidRPr="00C574FE" w:rsidRDefault="00D008EE" w:rsidP="00D008EE">
      <w:pPr>
        <w:pStyle w:val="ANPhDThesisTitlePage"/>
        <w:ind w:left="426" w:hanging="426"/>
        <w:rPr>
          <w:szCs w:val="24"/>
        </w:rPr>
      </w:pPr>
      <w:r w:rsidRPr="00C574FE">
        <w:rPr>
          <w:bCs/>
          <w:kern w:val="36"/>
          <w:lang w:val="en" w:eastAsia="en-AU"/>
        </w:rPr>
        <w:t xml:space="preserve">Fisher, R. P., Milne, R., &amp; Bull, R. (2011). Interviewing cooperative witnesses.  </w:t>
      </w:r>
      <w:r w:rsidRPr="00C574FE">
        <w:rPr>
          <w:i/>
          <w:lang w:val="en"/>
        </w:rPr>
        <w:t xml:space="preserve">Current Directions in Psychological Science, </w:t>
      </w:r>
      <w:r w:rsidRPr="00C574FE">
        <w:rPr>
          <w:rStyle w:val="slug-vol"/>
          <w:i/>
          <w:lang w:val="en"/>
        </w:rPr>
        <w:t>20</w:t>
      </w:r>
      <w:r w:rsidRPr="00C574FE">
        <w:rPr>
          <w:rStyle w:val="slug-vol"/>
          <w:lang w:val="en"/>
        </w:rPr>
        <w:t xml:space="preserve">, </w:t>
      </w:r>
      <w:r w:rsidRPr="00C574FE">
        <w:rPr>
          <w:rStyle w:val="slug-pages3"/>
          <w:lang w:val="en"/>
        </w:rPr>
        <w:t xml:space="preserve">16-19. doi: </w:t>
      </w:r>
      <w:r w:rsidRPr="00C574FE">
        <w:rPr>
          <w:bCs/>
          <w:lang w:val="en-US"/>
        </w:rPr>
        <w:t>10.1177/0963721410396826 </w:t>
      </w:r>
    </w:p>
    <w:p w14:paraId="0472B77F" w14:textId="77777777" w:rsidR="00D008EE" w:rsidRPr="00C574FE" w:rsidRDefault="00D008EE" w:rsidP="00D008EE">
      <w:pPr>
        <w:pStyle w:val="ANPhDThesisBody"/>
        <w:ind w:left="426" w:hanging="426"/>
      </w:pPr>
      <w:r w:rsidRPr="00C574FE">
        <w:t xml:space="preserve">Fisher, R. P., Schreiber Compo, N. S., Rivard, J., &amp; Hirn, D. (2014). Interviewing witnesses. In T. J. Perfect &amp; D. S Lindsay (eds.), </w:t>
      </w:r>
      <w:r w:rsidRPr="00C574FE">
        <w:rPr>
          <w:i/>
        </w:rPr>
        <w:t>The Sage handbook of applied memory</w:t>
      </w:r>
      <w:r w:rsidRPr="00C574FE">
        <w:t xml:space="preserve"> (pp.559-578). Los Angeles, CA: Sage.</w:t>
      </w:r>
    </w:p>
    <w:p w14:paraId="3FF62CB9" w14:textId="77777777" w:rsidR="00D008EE" w:rsidRPr="00C574FE" w:rsidRDefault="00D008EE" w:rsidP="00D008EE">
      <w:pPr>
        <w:spacing w:after="120"/>
        <w:ind w:left="426" w:hanging="426"/>
        <w:rPr>
          <w:bCs/>
          <w:color w:val="000000" w:themeColor="text1"/>
        </w:rPr>
      </w:pPr>
      <w:r w:rsidRPr="00C574FE">
        <w:rPr>
          <w:color w:val="000000" w:themeColor="text1"/>
          <w:lang w:bidi="en-US"/>
        </w:rPr>
        <w:t xml:space="preserve">Gabbert, F., Hope, L., Carter E., Boon, R., &amp; Fisher, R. (2015). The role of initial witness accounts within the investigative process. In G. Oxburgh, </w:t>
      </w:r>
      <w:r w:rsidRPr="00C574FE">
        <w:rPr>
          <w:color w:val="000000" w:themeColor="text1"/>
        </w:rPr>
        <w:t>T. Myklebust, T. Grant, &amp; R. Milne</w:t>
      </w:r>
      <w:r w:rsidRPr="00C574FE">
        <w:rPr>
          <w:color w:val="000000" w:themeColor="text1"/>
          <w:lang w:bidi="en-US"/>
        </w:rPr>
        <w:t xml:space="preserve"> (Eds.), </w:t>
      </w:r>
      <w:r w:rsidRPr="00C574FE">
        <w:rPr>
          <w:bCs/>
          <w:i/>
          <w:color w:val="000000" w:themeColor="text1"/>
        </w:rPr>
        <w:t>Communication in investigative and legal contexts: Integrated approaches from forensic psychology, linguistics and law enforcement.</w:t>
      </w:r>
      <w:r w:rsidRPr="00C574FE">
        <w:rPr>
          <w:bCs/>
          <w:color w:val="000000" w:themeColor="text1"/>
        </w:rPr>
        <w:t xml:space="preserve"> </w:t>
      </w:r>
      <w:r w:rsidRPr="00C574FE">
        <w:rPr>
          <w:color w:val="000000" w:themeColor="text1"/>
          <w:lang w:bidi="en-US"/>
        </w:rPr>
        <w:t>Chichester: Wiley-Blackwell.</w:t>
      </w:r>
    </w:p>
    <w:p w14:paraId="621E87C7" w14:textId="77777777" w:rsidR="00D008EE" w:rsidRPr="00C574FE" w:rsidRDefault="00D008EE" w:rsidP="00D008EE">
      <w:pPr>
        <w:pStyle w:val="ANPhDThesisTitlePage"/>
        <w:ind w:left="426" w:hanging="426"/>
        <w:rPr>
          <w:szCs w:val="24"/>
          <w:lang w:val="en-US"/>
        </w:rPr>
      </w:pPr>
      <w:r w:rsidRPr="00C574FE">
        <w:rPr>
          <w:szCs w:val="24"/>
        </w:rPr>
        <w:t xml:space="preserve">Gabbert, F., Hope, L., &amp; Fisher, R. P. (2009). Protecting eyewitness evidence: Examining the efficacy of a self-administered interview tool. </w:t>
      </w:r>
      <w:r w:rsidRPr="00C574FE">
        <w:rPr>
          <w:i/>
          <w:szCs w:val="24"/>
        </w:rPr>
        <w:t>Law and Human Behavior</w:t>
      </w:r>
      <w:r w:rsidRPr="00C574FE">
        <w:rPr>
          <w:szCs w:val="24"/>
        </w:rPr>
        <w:t xml:space="preserve">, </w:t>
      </w:r>
      <w:r w:rsidRPr="00C574FE">
        <w:rPr>
          <w:i/>
          <w:szCs w:val="24"/>
        </w:rPr>
        <w:t>33</w:t>
      </w:r>
      <w:r w:rsidRPr="00C574FE">
        <w:rPr>
          <w:szCs w:val="24"/>
        </w:rPr>
        <w:t xml:space="preserve">, 298-307. doi: </w:t>
      </w:r>
      <w:r w:rsidRPr="00C574FE">
        <w:rPr>
          <w:szCs w:val="24"/>
          <w:lang w:val="en-US"/>
        </w:rPr>
        <w:t>10.1007/s10979-008-9146-8 </w:t>
      </w:r>
    </w:p>
    <w:p w14:paraId="484BBD93" w14:textId="77777777" w:rsidR="00D008EE" w:rsidRPr="00C574FE" w:rsidRDefault="00D008EE" w:rsidP="00D008EE">
      <w:pPr>
        <w:autoSpaceDE w:val="0"/>
        <w:autoSpaceDN w:val="0"/>
        <w:adjustRightInd w:val="0"/>
        <w:ind w:left="426" w:hanging="426"/>
      </w:pPr>
      <w:r w:rsidRPr="00C574FE">
        <w:t xml:space="preserve">Gigerenzer, G., Hoffrage, U., &amp; Kleinbölting, H. (1991). Probabilistic mental models: A Brunswikian theory of confidence. </w:t>
      </w:r>
      <w:r w:rsidRPr="00C574FE">
        <w:rPr>
          <w:i/>
          <w:iCs/>
        </w:rPr>
        <w:t xml:space="preserve">Psychological Review, 98, </w:t>
      </w:r>
      <w:r w:rsidRPr="00C574FE">
        <w:t>506–528. doi: 10.1037/0033-295X.98.4.506</w:t>
      </w:r>
    </w:p>
    <w:p w14:paraId="1CB499E7" w14:textId="77777777" w:rsidR="00D008EE" w:rsidRPr="00C574FE" w:rsidRDefault="00D008EE" w:rsidP="00D008EE">
      <w:pPr>
        <w:autoSpaceDE w:val="0"/>
        <w:autoSpaceDN w:val="0"/>
        <w:adjustRightInd w:val="0"/>
        <w:ind w:left="426" w:hanging="426"/>
      </w:pPr>
      <w:r w:rsidRPr="00C574FE">
        <w:t xml:space="preserve">Goldsmith, M., Koriat, A., &amp; Weinberg-Eliezer, A. (2002). Strategic regulation of grain size memory reporting. </w:t>
      </w:r>
      <w:r w:rsidRPr="00C574FE">
        <w:rPr>
          <w:i/>
          <w:iCs/>
        </w:rPr>
        <w:t>Journal of Experimental Psychology: General, 131</w:t>
      </w:r>
      <w:r w:rsidRPr="00C574FE">
        <w:t>, 73-95. doi: 10.1037/0096-3445.131.1.73 </w:t>
      </w:r>
    </w:p>
    <w:p w14:paraId="5781032A" w14:textId="77777777" w:rsidR="00D008EE" w:rsidRPr="00C574FE" w:rsidRDefault="00D008EE" w:rsidP="00D008EE">
      <w:pPr>
        <w:pStyle w:val="EndNoteBibliography"/>
        <w:spacing w:after="0" w:line="480" w:lineRule="auto"/>
        <w:rPr>
          <w:sz w:val="24"/>
          <w:szCs w:val="24"/>
        </w:rPr>
      </w:pPr>
      <w:bookmarkStart w:id="6" w:name="_ENREF_14"/>
      <w:r w:rsidRPr="00C574FE">
        <w:rPr>
          <w:sz w:val="24"/>
          <w:szCs w:val="24"/>
        </w:rPr>
        <w:t xml:space="preserve">Grice, H. P. (2002). Logic and conversation. In D. J. Levitin (Ed.), </w:t>
      </w:r>
      <w:r w:rsidRPr="00C574FE">
        <w:rPr>
          <w:i/>
          <w:sz w:val="24"/>
          <w:szCs w:val="24"/>
        </w:rPr>
        <w:t>Foundations of cognitive Psychology: Core readings</w:t>
      </w:r>
      <w:r w:rsidRPr="00C574FE">
        <w:rPr>
          <w:sz w:val="24"/>
          <w:szCs w:val="24"/>
        </w:rPr>
        <w:t xml:space="preserve"> (pp. 719-732). London: MIT Press.</w:t>
      </w:r>
      <w:bookmarkEnd w:id="6"/>
    </w:p>
    <w:p w14:paraId="0B6350B5" w14:textId="77777777" w:rsidR="00D008EE" w:rsidRPr="00C574FE" w:rsidRDefault="00D008EE" w:rsidP="00D008EE">
      <w:pPr>
        <w:pStyle w:val="ANPhDThesisTitlePage"/>
        <w:ind w:left="426" w:hanging="426"/>
      </w:pPr>
      <w:r w:rsidRPr="00C574FE">
        <w:t xml:space="preserve">Hope, L., Gabbert, F., &amp; Fisher, R. P. (2011). From laboratory to the street: Capturing witness memory using the Self-Administered Interview. </w:t>
      </w:r>
      <w:r w:rsidRPr="00C574FE">
        <w:rPr>
          <w:i/>
        </w:rPr>
        <w:t>Legal and Criminological Psychology, 16</w:t>
      </w:r>
      <w:r w:rsidRPr="00C574FE">
        <w:t xml:space="preserve">, 211-226. doi: </w:t>
      </w:r>
      <w:r w:rsidRPr="00C574FE">
        <w:rPr>
          <w:lang w:val="en-US"/>
        </w:rPr>
        <w:t>10.1111/j.2044-8333.2011.02015.x</w:t>
      </w:r>
    </w:p>
    <w:p w14:paraId="7C1BD930" w14:textId="77777777" w:rsidR="00D008EE" w:rsidRPr="00C574FE" w:rsidRDefault="00D008EE" w:rsidP="00D008EE">
      <w:pPr>
        <w:pStyle w:val="ANPhDThesisTitlePage"/>
        <w:ind w:left="426" w:hanging="426"/>
        <w:rPr>
          <w:szCs w:val="24"/>
        </w:rPr>
      </w:pPr>
      <w:r w:rsidRPr="00C574FE">
        <w:rPr>
          <w:szCs w:val="24"/>
        </w:rPr>
        <w:t xml:space="preserve">Lamb, M. E., Hershkowitz, I., Orbach, Y., &amp; Esplin, P. W. (2008). </w:t>
      </w:r>
      <w:r w:rsidRPr="00C574FE">
        <w:rPr>
          <w:i/>
          <w:szCs w:val="24"/>
        </w:rPr>
        <w:t>Tell me what happened: Structured investigative interviews of child victims and witnesses</w:t>
      </w:r>
      <w:r w:rsidRPr="00C574FE">
        <w:rPr>
          <w:szCs w:val="24"/>
        </w:rPr>
        <w:t>. West Sussex, England: John Wiley &amp; Sons Ltd.</w:t>
      </w:r>
    </w:p>
    <w:p w14:paraId="5367F16F" w14:textId="77777777" w:rsidR="00D008EE" w:rsidRPr="00C574FE" w:rsidRDefault="00D008EE" w:rsidP="00D008EE">
      <w:pPr>
        <w:ind w:left="426" w:hanging="426"/>
      </w:pPr>
      <w:r w:rsidRPr="00C574FE">
        <w:t xml:space="preserve">Lavis, T., &amp; Brewer, N. (2017). Effects of a proven error on evaluations of witness testimony. </w:t>
      </w:r>
      <w:r w:rsidRPr="00C574FE">
        <w:rPr>
          <w:i/>
        </w:rPr>
        <w:t>Law and Human Behavior</w:t>
      </w:r>
      <w:r w:rsidRPr="00C574FE">
        <w:t>. doi: 10.1037/lhb0000217  </w:t>
      </w:r>
    </w:p>
    <w:p w14:paraId="55A617D9" w14:textId="77777777" w:rsidR="00D008EE" w:rsidRPr="00C574FE" w:rsidRDefault="00D008EE" w:rsidP="00D008EE">
      <w:pPr>
        <w:ind w:left="426" w:hanging="426"/>
        <w:rPr>
          <w:rStyle w:val="bibusindexbase"/>
        </w:rPr>
      </w:pPr>
      <w:r w:rsidRPr="00C574FE">
        <w:rPr>
          <w:rStyle w:val="bibusindexbase"/>
          <w:rFonts w:ascii="Liberation Serif" w:hAnsi="Liberation Serif" w:cs="Liberation Serif"/>
        </w:rPr>
        <w:t xml:space="preserve">Luna, K., Higham, P. A., &amp; Martín-Luengo, B. (2011). Regulation of memory accuracy with multiple answers: The plurality option. </w:t>
      </w:r>
      <w:r w:rsidRPr="00C574FE">
        <w:rPr>
          <w:rStyle w:val="bibusindexbasei"/>
          <w:rFonts w:ascii="Liberation Serif" w:hAnsi="Liberation Serif" w:cs="Liberation Serif"/>
        </w:rPr>
        <w:t>Journal of Experimental Psychology: Applied</w:t>
      </w:r>
      <w:r w:rsidRPr="00C574FE">
        <w:rPr>
          <w:rStyle w:val="bibusindexbase"/>
          <w:rFonts w:ascii="Liberation Serif" w:hAnsi="Liberation Serif" w:cs="Liberation Serif"/>
        </w:rPr>
        <w:t xml:space="preserve">, </w:t>
      </w:r>
      <w:r w:rsidRPr="00C574FE">
        <w:rPr>
          <w:rStyle w:val="bibusindexbasei"/>
          <w:rFonts w:ascii="Liberation Serif" w:hAnsi="Liberation Serif" w:cs="Liberation Serif"/>
        </w:rPr>
        <w:t>17</w:t>
      </w:r>
      <w:r w:rsidRPr="00C574FE">
        <w:rPr>
          <w:rStyle w:val="bibusindexbase"/>
          <w:rFonts w:ascii="Liberation Serif" w:hAnsi="Liberation Serif" w:cs="Liberation Serif"/>
        </w:rPr>
        <w:t xml:space="preserve">, 148-158. </w:t>
      </w:r>
      <w:r w:rsidRPr="00C574FE">
        <w:rPr>
          <w:rStyle w:val="bibusindexbase"/>
          <w:rFonts w:ascii="Liberation Serif" w:hAnsi="Liberation Serif" w:cs="Liberation Serif" w:hint="eastAsia"/>
        </w:rPr>
        <w:t>d</w:t>
      </w:r>
      <w:r w:rsidRPr="00C574FE">
        <w:rPr>
          <w:rStyle w:val="bibusindexbase"/>
          <w:rFonts w:ascii="Liberation Serif" w:hAnsi="Liberation Serif" w:cs="Liberation Serif"/>
        </w:rPr>
        <w:t xml:space="preserve">oi: </w:t>
      </w:r>
      <w:r w:rsidRPr="00C574FE">
        <w:rPr>
          <w:rFonts w:ascii="Liberation Serif" w:hAnsi="Liberation Serif" w:cs="Liberation Serif"/>
        </w:rPr>
        <w:t>10.1037/a0023276</w:t>
      </w:r>
    </w:p>
    <w:p w14:paraId="5FEDC895" w14:textId="77777777" w:rsidR="00D008EE" w:rsidRPr="00C574FE" w:rsidRDefault="00D008EE" w:rsidP="00D008EE">
      <w:pPr>
        <w:ind w:left="426" w:hanging="426"/>
        <w:rPr>
          <w:rStyle w:val="bibusindexbase"/>
          <w:rFonts w:ascii="Liberation Serif" w:hAnsi="Liberation Serif" w:cs="Liberation Serif" w:hint="eastAsia"/>
        </w:rPr>
      </w:pPr>
      <w:r w:rsidRPr="00C574FE">
        <w:t xml:space="preserve">Luna, K., &amp; Martín-Luengo, B. (2012). Confidence-accuracy calibration with general knowledge and eyewitness memory cued recall questions. </w:t>
      </w:r>
      <w:r w:rsidRPr="00C574FE">
        <w:rPr>
          <w:i/>
          <w:iCs/>
        </w:rPr>
        <w:t>Applied Cognitive Psychology, 26</w:t>
      </w:r>
      <w:r w:rsidRPr="00C574FE">
        <w:t>, 289-295. doi: 10.1002/acp.1822 </w:t>
      </w:r>
    </w:p>
    <w:p w14:paraId="4034D36C" w14:textId="77777777" w:rsidR="00D008EE" w:rsidRPr="00C574FE" w:rsidRDefault="00D008EE" w:rsidP="00D008EE">
      <w:pPr>
        <w:ind w:left="426" w:hanging="426"/>
        <w:rPr>
          <w:lang w:val="en" w:eastAsia="en-AU"/>
        </w:rPr>
      </w:pPr>
      <w:r w:rsidRPr="00C574FE">
        <w:t xml:space="preserve">Maras, K. L., &amp; Bowler, D. M. (2010). </w:t>
      </w:r>
      <w:r w:rsidRPr="00C574FE">
        <w:rPr>
          <w:lang w:val="en"/>
        </w:rPr>
        <w:t xml:space="preserve">The Cognitive Interview for eyewitnesses with Autism Spectrum Disorder. </w:t>
      </w:r>
      <w:r w:rsidRPr="00C574FE">
        <w:rPr>
          <w:i/>
          <w:lang w:val="en"/>
        </w:rPr>
        <w:t>Journal of Autism and Developmental Disorders, 40</w:t>
      </w:r>
      <w:r w:rsidRPr="00C574FE">
        <w:rPr>
          <w:lang w:val="en"/>
        </w:rPr>
        <w:t xml:space="preserve">, 1350-1360. doi: </w:t>
      </w:r>
      <w:r w:rsidRPr="00C574FE">
        <w:t>10.1007/s10803-010-0997-8  </w:t>
      </w:r>
    </w:p>
    <w:p w14:paraId="459FA12A" w14:textId="77777777" w:rsidR="00D008EE" w:rsidRPr="00C574FE" w:rsidRDefault="00D008EE" w:rsidP="00D008EE">
      <w:pPr>
        <w:ind w:left="425" w:hanging="425"/>
      </w:pPr>
      <w:r w:rsidRPr="00C574FE">
        <w:t xml:space="preserve">McCallum, N., Brewer, N., &amp; Weber, N. (2016). Memorial monitoring and control: How confidence and social and financial consequences affect eyewitnesses’ reporting of fine-grain information. </w:t>
      </w:r>
      <w:r w:rsidRPr="00C574FE">
        <w:rPr>
          <w:i/>
        </w:rPr>
        <w:t>Applied Cognitive Psycholo</w:t>
      </w:r>
      <w:r w:rsidRPr="00C574FE">
        <w:t>gy, 30, 375-386. doi: 10.1002/acp.3212</w:t>
      </w:r>
    </w:p>
    <w:p w14:paraId="17F69450" w14:textId="77777777" w:rsidR="00D008EE" w:rsidRPr="00C574FE" w:rsidRDefault="00D008EE" w:rsidP="00D008EE">
      <w:pPr>
        <w:ind w:left="426" w:hanging="426"/>
      </w:pPr>
      <w:r w:rsidRPr="00C574FE">
        <w:t xml:space="preserve">Memon, A., </w:t>
      </w:r>
      <w:r w:rsidRPr="00C574FE">
        <w:rPr>
          <w:lang w:val="en"/>
        </w:rPr>
        <w:t>Wark, L., Holley, A., Bull, R., &amp; Koehnken, G.</w:t>
      </w:r>
      <w:r w:rsidRPr="00C574FE">
        <w:t xml:space="preserve"> (1996). </w:t>
      </w:r>
      <w:hyperlink r:id="rId11" w:history="1">
        <w:r w:rsidRPr="00C574FE">
          <w:rPr>
            <w:bCs/>
            <w:lang w:val="en"/>
          </w:rPr>
          <w:t>Interviewer behaviour in investigative interviews</w:t>
        </w:r>
      </w:hyperlink>
      <w:r w:rsidRPr="00C574FE">
        <w:t xml:space="preserve">. </w:t>
      </w:r>
      <w:r w:rsidRPr="00C574FE">
        <w:rPr>
          <w:i/>
          <w:iCs/>
        </w:rPr>
        <w:t>Psychology, Crime and Law, 3,</w:t>
      </w:r>
      <w:r w:rsidRPr="00C574FE">
        <w:t xml:space="preserve"> 135-155. doi: 10.1080/10683169608409800 </w:t>
      </w:r>
    </w:p>
    <w:p w14:paraId="69A4828C" w14:textId="77777777" w:rsidR="00D008EE" w:rsidRPr="00C574FE" w:rsidRDefault="00D008EE" w:rsidP="00D008EE">
      <w:pPr>
        <w:autoSpaceDE w:val="0"/>
        <w:autoSpaceDN w:val="0"/>
        <w:adjustRightInd w:val="0"/>
        <w:ind w:left="426" w:hanging="426"/>
      </w:pPr>
      <w:r w:rsidRPr="00C574FE">
        <w:t xml:space="preserve">Pipe, M-E., Gee, S., Wilson, J. C., Egerton, J. M. (1999). Children’s recall 1 or 2 years after an event. </w:t>
      </w:r>
      <w:r w:rsidRPr="00C574FE">
        <w:rPr>
          <w:i/>
          <w:iCs/>
        </w:rPr>
        <w:t xml:space="preserve">Developmental Psychology, 35, </w:t>
      </w:r>
      <w:r w:rsidRPr="00C574FE">
        <w:t>781-789. doi: 10.1037/0012-1649.35.3.781</w:t>
      </w:r>
    </w:p>
    <w:p w14:paraId="67312B9E" w14:textId="77777777" w:rsidR="00D008EE" w:rsidRPr="00C574FE" w:rsidRDefault="00D008EE" w:rsidP="00D008EE">
      <w:pPr>
        <w:ind w:left="426" w:hanging="426"/>
        <w:rPr>
          <w:lang w:eastAsia="en-GB"/>
        </w:rPr>
      </w:pPr>
      <w:r w:rsidRPr="00C574FE">
        <w:rPr>
          <w:bCs/>
        </w:rPr>
        <w:t>Powell, M.</w:t>
      </w:r>
      <w:r w:rsidRPr="00C574FE">
        <w:t>, Fisher, R., &amp; Wright, R. (2005). Investigative interviewing.</w:t>
      </w:r>
      <w:r w:rsidRPr="00C574FE">
        <w:rPr>
          <w:lang w:eastAsia="en-GB"/>
        </w:rPr>
        <w:t xml:space="preserve"> In N. Brewer &amp; K. D. Williams (Eds.), </w:t>
      </w:r>
      <w:r w:rsidRPr="00C574FE">
        <w:rPr>
          <w:i/>
          <w:lang w:eastAsia="en-GB"/>
        </w:rPr>
        <w:t xml:space="preserve">Psychology and law: An empirical perspective (pp. </w:t>
      </w:r>
      <w:r w:rsidRPr="00C574FE">
        <w:t>11-42</w:t>
      </w:r>
      <w:r w:rsidRPr="00C574FE">
        <w:rPr>
          <w:i/>
          <w:lang w:eastAsia="en-GB"/>
        </w:rPr>
        <w:t>).</w:t>
      </w:r>
      <w:r w:rsidRPr="00C574FE">
        <w:rPr>
          <w:lang w:eastAsia="en-GB"/>
        </w:rPr>
        <w:t xml:space="preserve"> New York: Guilford Press. </w:t>
      </w:r>
    </w:p>
    <w:p w14:paraId="646348C7" w14:textId="77777777" w:rsidR="00D008EE" w:rsidRPr="00C574FE" w:rsidRDefault="00D008EE" w:rsidP="00D008EE">
      <w:pPr>
        <w:autoSpaceDE w:val="0"/>
        <w:autoSpaceDN w:val="0"/>
        <w:adjustRightInd w:val="0"/>
        <w:ind w:left="426" w:hanging="426"/>
        <w:rPr>
          <w:lang w:eastAsia="en-GB"/>
        </w:rPr>
      </w:pPr>
      <w:r w:rsidRPr="00C574FE">
        <w:rPr>
          <w:lang w:eastAsia="en-GB"/>
        </w:rPr>
        <w:t xml:space="preserve">Roberts, W. T., &amp; Higham, P. A. (2002). Selecting accurate statements from the cognitive interview using confidence ratings. </w:t>
      </w:r>
      <w:r w:rsidRPr="00C574FE">
        <w:rPr>
          <w:i/>
          <w:iCs/>
          <w:lang w:eastAsia="en-GB"/>
        </w:rPr>
        <w:t>Journal of Experimental Psychology: Applied, 8</w:t>
      </w:r>
      <w:r w:rsidRPr="00C574FE">
        <w:rPr>
          <w:lang w:eastAsia="en-GB"/>
        </w:rPr>
        <w:t>, 33-43. doi: 10.1037/1076-898X.8.1.33 </w:t>
      </w:r>
    </w:p>
    <w:p w14:paraId="4FEBE836" w14:textId="77777777" w:rsidR="00D008EE" w:rsidRPr="00C574FE" w:rsidRDefault="00D008EE" w:rsidP="00D008EE">
      <w:pPr>
        <w:autoSpaceDE w:val="0"/>
        <w:autoSpaceDN w:val="0"/>
        <w:adjustRightInd w:val="0"/>
        <w:ind w:left="426" w:hanging="426"/>
      </w:pPr>
      <w:r w:rsidRPr="00C574FE">
        <w:t xml:space="preserve">Robinson, M. D., &amp; Johnson, J. T. (1996). Recall memory, recognition memory, and the eyewitness confidence–accuracy correlation. </w:t>
      </w:r>
      <w:r w:rsidRPr="00C574FE">
        <w:rPr>
          <w:i/>
        </w:rPr>
        <w:t>Journal of Applied Psychology, 81</w:t>
      </w:r>
      <w:r w:rsidRPr="00C574FE">
        <w:t>, 587-594. doi: 10.1037/0021-9010.81.5.587</w:t>
      </w:r>
    </w:p>
    <w:p w14:paraId="28384B5E" w14:textId="77777777" w:rsidR="00D008EE" w:rsidRPr="00C574FE" w:rsidRDefault="00D008EE" w:rsidP="00D008EE">
      <w:pPr>
        <w:ind w:left="425" w:hanging="425"/>
      </w:pPr>
      <w:r w:rsidRPr="00C574FE">
        <w:rPr>
          <w:iCs/>
        </w:rPr>
        <w:t>Scoboria, A.,</w:t>
      </w:r>
      <w:r w:rsidRPr="00C574FE">
        <w:t xml:space="preserve"> &amp; Fisico, S. (2013). Encouraging and clarifying “don’t know” responses enhances interview quality. </w:t>
      </w:r>
      <w:r w:rsidRPr="00C574FE">
        <w:rPr>
          <w:i/>
          <w:iCs/>
        </w:rPr>
        <w:t xml:space="preserve">Journal of Experimental Psychology: Applied, 19, </w:t>
      </w:r>
      <w:r w:rsidRPr="00C574FE">
        <w:t>72-82. doi: 10.1037/a0032067</w:t>
      </w:r>
    </w:p>
    <w:p w14:paraId="623D97CB" w14:textId="77777777" w:rsidR="00FD40C7" w:rsidRPr="00C574FE" w:rsidRDefault="00FD40C7" w:rsidP="00FD40C7">
      <w:pPr>
        <w:pStyle w:val="BodyTextIndent3"/>
        <w:ind w:left="567" w:hanging="567"/>
        <w:rPr>
          <w:sz w:val="24"/>
          <w:szCs w:val="24"/>
        </w:rPr>
      </w:pPr>
      <w:r w:rsidRPr="00C574FE">
        <w:rPr>
          <w:sz w:val="24"/>
          <w:szCs w:val="24"/>
        </w:rPr>
        <w:t xml:space="preserve">Semmler, C., Brewer, N., &amp; Wells, G. L. (2004).  Effects of postidentification feedback on eyewitness identification and nonidentification confidence.  </w:t>
      </w:r>
      <w:r w:rsidRPr="00C574FE">
        <w:rPr>
          <w:i/>
          <w:iCs/>
          <w:sz w:val="24"/>
          <w:szCs w:val="24"/>
        </w:rPr>
        <w:t>Journal of Applied Psychology</w:t>
      </w:r>
      <w:r w:rsidRPr="00C574FE">
        <w:rPr>
          <w:sz w:val="24"/>
          <w:szCs w:val="24"/>
        </w:rPr>
        <w:t xml:space="preserve">, </w:t>
      </w:r>
      <w:r w:rsidRPr="00C574FE">
        <w:rPr>
          <w:i/>
          <w:iCs/>
          <w:sz w:val="24"/>
          <w:szCs w:val="24"/>
        </w:rPr>
        <w:t>89</w:t>
      </w:r>
      <w:r w:rsidRPr="00C574FE">
        <w:rPr>
          <w:sz w:val="24"/>
          <w:szCs w:val="24"/>
        </w:rPr>
        <w:t>, 334-346.</w:t>
      </w:r>
    </w:p>
    <w:p w14:paraId="12B01045" w14:textId="77777777" w:rsidR="00D008EE" w:rsidRPr="00C574FE" w:rsidRDefault="00D008EE" w:rsidP="00D008EE">
      <w:pPr>
        <w:ind w:left="426" w:hanging="426"/>
      </w:pPr>
      <w:r w:rsidRPr="00C574FE">
        <w:t xml:space="preserve">Tuckey, M. R., &amp; Brewer, N. (2003). The influence of schemas, stimulus ambiguity, and interview schedule on eyewitness memory over time. </w:t>
      </w:r>
      <w:r w:rsidRPr="00C574FE">
        <w:rPr>
          <w:i/>
          <w:iCs/>
        </w:rPr>
        <w:t>Journal of Experimental Psychology: Applied</w:t>
      </w:r>
      <w:r w:rsidRPr="00C574FE">
        <w:t xml:space="preserve">, </w:t>
      </w:r>
      <w:r w:rsidRPr="00C574FE">
        <w:rPr>
          <w:i/>
          <w:iCs/>
        </w:rPr>
        <w:t>9</w:t>
      </w:r>
      <w:r w:rsidRPr="00C574FE">
        <w:t>, 101-118. doi: 10.1037/1076-898X.9.2.101</w:t>
      </w:r>
    </w:p>
    <w:p w14:paraId="076CE69C" w14:textId="77777777" w:rsidR="00D008EE" w:rsidRPr="00C574FE" w:rsidRDefault="00D008EE" w:rsidP="00D008EE">
      <w:pPr>
        <w:tabs>
          <w:tab w:val="left" w:pos="1440"/>
          <w:tab w:val="left" w:pos="2160"/>
          <w:tab w:val="left" w:pos="2880"/>
        </w:tabs>
        <w:ind w:left="426" w:hanging="426"/>
      </w:pPr>
      <w:r w:rsidRPr="00C574FE">
        <w:t xml:space="preserve">Tulving, E., &amp; Thomson, D. M. (1973). Encoding specificity and retrieval processes in episodic memory. </w:t>
      </w:r>
      <w:r w:rsidRPr="00C574FE">
        <w:rPr>
          <w:i/>
        </w:rPr>
        <w:t>Psychological Review, 80</w:t>
      </w:r>
      <w:r w:rsidRPr="00C574FE">
        <w:t>, 352-373. doi: 10.1037/h0020071 </w:t>
      </w:r>
    </w:p>
    <w:p w14:paraId="77D7A358" w14:textId="77777777" w:rsidR="00D008EE" w:rsidRPr="00C574FE" w:rsidRDefault="00D008EE" w:rsidP="00D008EE">
      <w:pPr>
        <w:autoSpaceDE w:val="0"/>
        <w:autoSpaceDN w:val="0"/>
        <w:adjustRightInd w:val="0"/>
        <w:ind w:left="426" w:hanging="426"/>
      </w:pPr>
      <w:r w:rsidRPr="00C574FE">
        <w:t xml:space="preserve">Vrij, A., Hope, L., &amp; Fisher, R. P. (2014). Eliciting reliable information in investigative interviews. </w:t>
      </w:r>
      <w:r w:rsidRPr="00C574FE">
        <w:rPr>
          <w:i/>
        </w:rPr>
        <w:t>Policy Insights from Behavioral and Brain Sciences (PIBBS), 1</w:t>
      </w:r>
      <w:r w:rsidRPr="00C574FE">
        <w:t>, 129-136</w:t>
      </w:r>
      <w:r w:rsidRPr="00C574FE">
        <w:rPr>
          <w:i/>
        </w:rPr>
        <w:t>.</w:t>
      </w:r>
      <w:r w:rsidRPr="00C574FE">
        <w:t xml:space="preserve"> doi: 10.1177/2372732214548592 </w:t>
      </w:r>
    </w:p>
    <w:p w14:paraId="26A25B69" w14:textId="77777777" w:rsidR="00D008EE" w:rsidRPr="00C574FE" w:rsidRDefault="00D008EE" w:rsidP="00D008EE">
      <w:pPr>
        <w:autoSpaceDE w:val="0"/>
        <w:autoSpaceDN w:val="0"/>
        <w:adjustRightInd w:val="0"/>
        <w:ind w:left="426" w:hanging="426"/>
      </w:pPr>
      <w:r w:rsidRPr="00C574FE">
        <w:t xml:space="preserve">Weber, N., &amp; Brewer, N. (2004). Confidence-accuracy calibration in absolute and relative face recognition judgments. </w:t>
      </w:r>
      <w:r w:rsidRPr="00C574FE">
        <w:rPr>
          <w:i/>
          <w:iCs/>
        </w:rPr>
        <w:t xml:space="preserve">Journal of Experimental Psychology: Applied, 10, </w:t>
      </w:r>
      <w:r w:rsidRPr="00C574FE">
        <w:t>156-172. doi: 10.1037/1076-898X.10.3.156 </w:t>
      </w:r>
    </w:p>
    <w:p w14:paraId="3D99891C" w14:textId="77777777" w:rsidR="00D008EE" w:rsidRPr="00C574FE" w:rsidRDefault="00D008EE" w:rsidP="00D008EE">
      <w:pPr>
        <w:tabs>
          <w:tab w:val="left" w:pos="1440"/>
          <w:tab w:val="left" w:pos="2160"/>
          <w:tab w:val="left" w:pos="2880"/>
        </w:tabs>
        <w:ind w:left="426" w:hanging="426"/>
      </w:pPr>
      <w:r w:rsidRPr="00C574FE">
        <w:t xml:space="preserve">Weber, N., &amp; Brewer, N. (2008). Eyewitness recall: Regulation of grain size and the role of confidence. </w:t>
      </w:r>
      <w:r w:rsidRPr="00C574FE">
        <w:rPr>
          <w:i/>
        </w:rPr>
        <w:t>Journal of Experimental Psychology: Applied, 14,</w:t>
      </w:r>
      <w:r w:rsidRPr="00C574FE">
        <w:t xml:space="preserve"> 50-60. doi: 10.1037/1076-898X.14.1.50 </w:t>
      </w:r>
    </w:p>
    <w:p w14:paraId="56667604" w14:textId="113D1E56" w:rsidR="008407AF" w:rsidRPr="00C574FE" w:rsidRDefault="00D008EE" w:rsidP="007773BD">
      <w:pPr>
        <w:pStyle w:val="ANPhDThesisTitlePage"/>
        <w:ind w:left="425" w:hanging="425"/>
      </w:pPr>
      <w:r w:rsidRPr="00C574FE">
        <w:rPr>
          <w:szCs w:val="24"/>
        </w:rPr>
        <w:t xml:space="preserve">Yaniv, I., &amp; Foster, D. P. (1995). Graininess of judgement under uncertainty: An accuracy-informativeness trade-off. </w:t>
      </w:r>
      <w:r w:rsidRPr="00C574FE">
        <w:rPr>
          <w:i/>
          <w:szCs w:val="24"/>
        </w:rPr>
        <w:t>Journal of Experimental Psychology: General</w:t>
      </w:r>
      <w:r w:rsidRPr="00C574FE">
        <w:rPr>
          <w:szCs w:val="24"/>
        </w:rPr>
        <w:t xml:space="preserve">, </w:t>
      </w:r>
      <w:r w:rsidRPr="00C574FE">
        <w:rPr>
          <w:i/>
          <w:szCs w:val="24"/>
        </w:rPr>
        <w:t>124</w:t>
      </w:r>
      <w:r w:rsidRPr="00C574FE">
        <w:rPr>
          <w:szCs w:val="24"/>
        </w:rPr>
        <w:t xml:space="preserve">, 424-432. doi: </w:t>
      </w:r>
      <w:r w:rsidR="007773BD" w:rsidRPr="00C574FE">
        <w:rPr>
          <w:szCs w:val="24"/>
          <w:lang w:val="en-US"/>
        </w:rPr>
        <w:t>10.1037/0096-3445.124.4.424</w:t>
      </w:r>
      <w:r w:rsidR="008407AF" w:rsidRPr="00C574FE">
        <w:br w:type="page"/>
      </w:r>
    </w:p>
    <w:p w14:paraId="598B5E2E" w14:textId="4D00E509" w:rsidR="007255FB" w:rsidRPr="00C574FE" w:rsidRDefault="007255FB" w:rsidP="00D1024C">
      <w:pPr>
        <w:pStyle w:val="BodyText"/>
        <w:ind w:firstLine="0"/>
        <w:jc w:val="center"/>
      </w:pPr>
      <w:r w:rsidRPr="00C574FE">
        <w:t>Footnote</w:t>
      </w:r>
    </w:p>
    <w:p w14:paraId="17CA6955" w14:textId="76CC49A5" w:rsidR="00DE6119" w:rsidRPr="00C574FE" w:rsidRDefault="00C60403" w:rsidP="00DE6119">
      <w:pPr>
        <w:pStyle w:val="BodyText"/>
        <w:ind w:firstLine="0"/>
      </w:pPr>
      <w:r w:rsidRPr="00C574FE">
        <w:rPr>
          <w:vertAlign w:val="superscript"/>
        </w:rPr>
        <w:t>1</w:t>
      </w:r>
      <w:r w:rsidR="00DE6119" w:rsidRPr="00C574FE">
        <w:t>The adapted version of the SAI</w:t>
      </w:r>
      <w:r w:rsidR="00DE6119" w:rsidRPr="00C574FE">
        <w:rPr>
          <w:vertAlign w:val="superscript"/>
        </w:rPr>
        <w:t>©</w:t>
      </w:r>
      <w:r w:rsidR="00DE6119" w:rsidRPr="00C574FE">
        <w:t xml:space="preserve"> is a copyrighted instrument and is not included in Supplementary Materials, but the authors of the instrument have advised that a copy can be obtained by contacting them directly.</w:t>
      </w:r>
    </w:p>
    <w:p w14:paraId="52A8E0E1" w14:textId="33C7ED3C" w:rsidR="007255FB" w:rsidRPr="00C574FE" w:rsidRDefault="007255FB">
      <w:pPr>
        <w:tabs>
          <w:tab w:val="clear" w:pos="8640"/>
        </w:tabs>
        <w:spacing w:line="240" w:lineRule="auto"/>
      </w:pPr>
      <w:r w:rsidRPr="00C574FE">
        <w:br w:type="page"/>
      </w:r>
    </w:p>
    <w:p w14:paraId="0087A699" w14:textId="6B3EDF1B" w:rsidR="00F14448" w:rsidRPr="00C574FE" w:rsidRDefault="00F14448" w:rsidP="00F14448">
      <w:pPr>
        <w:pStyle w:val="BodyText"/>
        <w:ind w:firstLine="0"/>
      </w:pPr>
      <w:r w:rsidRPr="00C574FE">
        <w:t>Table 1</w:t>
      </w:r>
    </w:p>
    <w:p w14:paraId="6F0EEEC1" w14:textId="0A4DA15E" w:rsidR="00F14448" w:rsidRPr="00C574FE" w:rsidRDefault="00F14448" w:rsidP="00F14448">
      <w:pPr>
        <w:rPr>
          <w:rFonts w:eastAsia="Batang"/>
          <w:bCs/>
        </w:rPr>
      </w:pPr>
      <w:r w:rsidRPr="00C574FE">
        <w:rPr>
          <w:rFonts w:eastAsia="Batang"/>
          <w:bCs/>
          <w:i/>
        </w:rPr>
        <w:t xml:space="preserve">Mean (SD) </w:t>
      </w:r>
      <w:r w:rsidRPr="00C574FE">
        <w:rPr>
          <w:i/>
        </w:rPr>
        <w:t>and 95% Confidence Intervals</w:t>
      </w:r>
      <w:r w:rsidRPr="00C574FE">
        <w:rPr>
          <w:rFonts w:eastAsia="Batang"/>
          <w:bCs/>
          <w:i/>
        </w:rPr>
        <w:t xml:space="preserve"> for </w:t>
      </w:r>
      <w:r w:rsidR="008B23D0" w:rsidRPr="00C574FE">
        <w:rPr>
          <w:rFonts w:eastAsia="Batang"/>
          <w:bCs/>
          <w:i/>
        </w:rPr>
        <w:t>total number</w:t>
      </w:r>
      <w:r w:rsidR="00CF151E" w:rsidRPr="00C574FE">
        <w:rPr>
          <w:rFonts w:eastAsia="Batang"/>
          <w:bCs/>
          <w:i/>
        </w:rPr>
        <w:t xml:space="preserve"> and the number of accurate</w:t>
      </w:r>
      <w:r w:rsidR="008B23D0" w:rsidRPr="00C574FE">
        <w:rPr>
          <w:rFonts w:eastAsia="Batang"/>
          <w:bCs/>
          <w:i/>
        </w:rPr>
        <w:t xml:space="preserve"> </w:t>
      </w:r>
      <w:r w:rsidRPr="00C574FE">
        <w:rPr>
          <w:rFonts w:eastAsia="Batang"/>
          <w:bCs/>
          <w:i/>
        </w:rPr>
        <w:t>coarse</w:t>
      </w:r>
      <w:r w:rsidR="00F77D99" w:rsidRPr="00C574FE">
        <w:rPr>
          <w:rFonts w:eastAsia="Batang"/>
          <w:bCs/>
          <w:i/>
        </w:rPr>
        <w:t>-grain</w:t>
      </w:r>
      <w:r w:rsidRPr="00C574FE">
        <w:rPr>
          <w:rFonts w:eastAsia="Batang"/>
          <w:bCs/>
          <w:i/>
        </w:rPr>
        <w:t xml:space="preserve"> items</w:t>
      </w:r>
      <w:r w:rsidR="008B23D0" w:rsidRPr="00C574FE">
        <w:rPr>
          <w:rFonts w:eastAsia="Batang"/>
          <w:bCs/>
          <w:i/>
        </w:rPr>
        <w:t xml:space="preserve"> </w:t>
      </w:r>
      <w:r w:rsidRPr="00C574FE">
        <w:rPr>
          <w:rFonts w:eastAsia="Batang"/>
          <w:bCs/>
          <w:i/>
        </w:rPr>
        <w:t>for the various interview conditions</w:t>
      </w:r>
      <w:r w:rsidR="008B23D0" w:rsidRPr="00C574FE">
        <w:rPr>
          <w:rFonts w:eastAsia="Batang"/>
          <w:bCs/>
          <w:i/>
        </w:rPr>
        <w:t xml:space="preserve"> in Experiments 1-</w:t>
      </w:r>
      <w:r w:rsidR="009F1357" w:rsidRPr="00C574FE">
        <w:rPr>
          <w:rFonts w:eastAsia="Batang"/>
          <w:bCs/>
          <w:i/>
        </w:rPr>
        <w:t>3</w:t>
      </w:r>
      <w:r w:rsidR="008B23D0" w:rsidRPr="00C574FE">
        <w:rPr>
          <w:rFonts w:eastAsia="Batang"/>
          <w:bCs/>
          <w:i/>
        </w:rPr>
        <w:t>.</w:t>
      </w:r>
    </w:p>
    <w:tbl>
      <w:tblPr>
        <w:tblStyle w:val="TableGrid"/>
        <w:tblW w:w="9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418"/>
        <w:gridCol w:w="1417"/>
        <w:gridCol w:w="1276"/>
        <w:gridCol w:w="1429"/>
        <w:gridCol w:w="1342"/>
      </w:tblGrid>
      <w:tr w:rsidR="00F14448" w:rsidRPr="00C574FE" w14:paraId="5E220A2A" w14:textId="77777777" w:rsidTr="007D10F3">
        <w:tc>
          <w:tcPr>
            <w:tcW w:w="2518" w:type="dxa"/>
            <w:tcBorders>
              <w:top w:val="single" w:sz="4" w:space="0" w:color="auto"/>
            </w:tcBorders>
          </w:tcPr>
          <w:p w14:paraId="2AEA64A4" w14:textId="77777777" w:rsidR="00F14448" w:rsidRPr="00C574FE" w:rsidRDefault="00F14448" w:rsidP="00F14448">
            <w:pPr>
              <w:spacing w:line="360" w:lineRule="auto"/>
              <w:rPr>
                <w:rFonts w:eastAsia="Batang"/>
                <w:bCs/>
              </w:rPr>
            </w:pPr>
          </w:p>
        </w:tc>
        <w:tc>
          <w:tcPr>
            <w:tcW w:w="6882" w:type="dxa"/>
            <w:gridSpan w:val="5"/>
            <w:tcBorders>
              <w:top w:val="single" w:sz="4" w:space="0" w:color="auto"/>
              <w:bottom w:val="single" w:sz="4" w:space="0" w:color="auto"/>
            </w:tcBorders>
          </w:tcPr>
          <w:p w14:paraId="7D23B6A0" w14:textId="77777777" w:rsidR="00F14448" w:rsidRPr="00C574FE" w:rsidRDefault="00F14448" w:rsidP="00F14448">
            <w:pPr>
              <w:spacing w:line="360" w:lineRule="auto"/>
              <w:jc w:val="center"/>
              <w:rPr>
                <w:rFonts w:eastAsia="Batang"/>
                <w:bCs/>
              </w:rPr>
            </w:pPr>
            <w:r w:rsidRPr="00C574FE">
              <w:rPr>
                <w:rFonts w:eastAsia="Batang"/>
                <w:bCs/>
              </w:rPr>
              <w:t>Interview Format</w:t>
            </w:r>
          </w:p>
        </w:tc>
      </w:tr>
      <w:tr w:rsidR="00F14448" w:rsidRPr="00C574FE" w14:paraId="20C0A350" w14:textId="77777777" w:rsidTr="007D10F3">
        <w:tc>
          <w:tcPr>
            <w:tcW w:w="2518" w:type="dxa"/>
            <w:tcBorders>
              <w:bottom w:val="single" w:sz="4" w:space="0" w:color="auto"/>
            </w:tcBorders>
          </w:tcPr>
          <w:p w14:paraId="5AECD8C7" w14:textId="29A3FB8C" w:rsidR="00F14448" w:rsidRPr="00C574FE" w:rsidRDefault="0081275B" w:rsidP="00CF0A05">
            <w:pPr>
              <w:spacing w:line="360" w:lineRule="auto"/>
              <w:ind w:left="142" w:hanging="142"/>
              <w:rPr>
                <w:rFonts w:eastAsia="Batang"/>
                <w:bCs/>
              </w:rPr>
            </w:pPr>
            <w:r w:rsidRPr="00C574FE">
              <w:rPr>
                <w:rFonts w:eastAsia="Batang"/>
                <w:bCs/>
              </w:rPr>
              <w:t>Measure</w:t>
            </w:r>
          </w:p>
        </w:tc>
        <w:tc>
          <w:tcPr>
            <w:tcW w:w="1418" w:type="dxa"/>
            <w:tcBorders>
              <w:top w:val="single" w:sz="4" w:space="0" w:color="auto"/>
              <w:bottom w:val="single" w:sz="4" w:space="0" w:color="auto"/>
            </w:tcBorders>
          </w:tcPr>
          <w:p w14:paraId="4B453D3C" w14:textId="77777777" w:rsidR="00F14448" w:rsidRPr="00C574FE" w:rsidRDefault="00F14448" w:rsidP="00F14448">
            <w:pPr>
              <w:spacing w:line="360" w:lineRule="auto"/>
              <w:jc w:val="center"/>
              <w:rPr>
                <w:rFonts w:eastAsia="Batang"/>
                <w:bCs/>
              </w:rPr>
            </w:pPr>
            <w:r w:rsidRPr="00C574FE">
              <w:rPr>
                <w:rFonts w:eastAsia="Batang"/>
                <w:bCs/>
              </w:rPr>
              <w:t>Forced Report:</w:t>
            </w:r>
          </w:p>
          <w:p w14:paraId="3A4AF2B3" w14:textId="77777777" w:rsidR="00F14448" w:rsidRPr="00C574FE" w:rsidRDefault="00F14448" w:rsidP="00F14448">
            <w:pPr>
              <w:spacing w:line="360" w:lineRule="auto"/>
              <w:jc w:val="center"/>
              <w:rPr>
                <w:rFonts w:eastAsia="Batang"/>
                <w:bCs/>
              </w:rPr>
            </w:pPr>
            <w:r w:rsidRPr="00C574FE">
              <w:rPr>
                <w:rFonts w:eastAsia="Batang"/>
                <w:bCs/>
              </w:rPr>
              <w:t>Initial</w:t>
            </w:r>
          </w:p>
        </w:tc>
        <w:tc>
          <w:tcPr>
            <w:tcW w:w="1417" w:type="dxa"/>
            <w:tcBorders>
              <w:top w:val="single" w:sz="4" w:space="0" w:color="auto"/>
              <w:bottom w:val="single" w:sz="4" w:space="0" w:color="auto"/>
            </w:tcBorders>
          </w:tcPr>
          <w:p w14:paraId="684D96F0" w14:textId="77777777" w:rsidR="00F14448" w:rsidRPr="00C574FE" w:rsidRDefault="00F14448" w:rsidP="00F14448">
            <w:pPr>
              <w:pStyle w:val="BodyText"/>
              <w:spacing w:line="360" w:lineRule="auto"/>
              <w:ind w:firstLine="0"/>
              <w:jc w:val="center"/>
            </w:pPr>
            <w:r w:rsidRPr="00C574FE">
              <w:t>Forced Report: Preferred</w:t>
            </w:r>
          </w:p>
        </w:tc>
        <w:tc>
          <w:tcPr>
            <w:tcW w:w="1276" w:type="dxa"/>
            <w:tcBorders>
              <w:top w:val="single" w:sz="4" w:space="0" w:color="auto"/>
              <w:bottom w:val="single" w:sz="4" w:space="0" w:color="auto"/>
            </w:tcBorders>
          </w:tcPr>
          <w:p w14:paraId="03A47432" w14:textId="1583B9C2" w:rsidR="00F14448" w:rsidRPr="00C574FE" w:rsidRDefault="0070591A" w:rsidP="00F14448">
            <w:pPr>
              <w:pStyle w:val="BodyText"/>
              <w:spacing w:line="360" w:lineRule="auto"/>
              <w:ind w:left="-108" w:firstLine="0"/>
              <w:jc w:val="center"/>
            </w:pPr>
            <w:r w:rsidRPr="00C574FE">
              <w:t xml:space="preserve">Adapted </w:t>
            </w:r>
            <w:r w:rsidR="00F14448" w:rsidRPr="00C574FE">
              <w:t>SAI</w:t>
            </w:r>
            <w:r w:rsidR="00ED7BA6" w:rsidRPr="00C574FE">
              <w:rPr>
                <w:vertAlign w:val="superscript"/>
              </w:rPr>
              <w:t>©</w:t>
            </w:r>
          </w:p>
        </w:tc>
        <w:tc>
          <w:tcPr>
            <w:tcW w:w="1429" w:type="dxa"/>
            <w:tcBorders>
              <w:top w:val="single" w:sz="4" w:space="0" w:color="auto"/>
              <w:bottom w:val="single" w:sz="4" w:space="0" w:color="auto"/>
            </w:tcBorders>
          </w:tcPr>
          <w:p w14:paraId="570A5111" w14:textId="197225AA" w:rsidR="00F14448" w:rsidRPr="00C574FE" w:rsidRDefault="00F14448" w:rsidP="00922FE3">
            <w:pPr>
              <w:pStyle w:val="BodyText"/>
              <w:spacing w:line="360" w:lineRule="auto"/>
              <w:ind w:firstLine="46"/>
              <w:jc w:val="center"/>
            </w:pPr>
            <w:r w:rsidRPr="00C574FE">
              <w:t xml:space="preserve">Free Recall </w:t>
            </w:r>
            <w:r w:rsidR="00922FE3" w:rsidRPr="00C574FE">
              <w:t>Plus C</w:t>
            </w:r>
            <w:r w:rsidRPr="00C574FE">
              <w:t>onfidence</w:t>
            </w:r>
          </w:p>
        </w:tc>
        <w:tc>
          <w:tcPr>
            <w:tcW w:w="1342" w:type="dxa"/>
            <w:tcBorders>
              <w:top w:val="single" w:sz="4" w:space="0" w:color="auto"/>
              <w:bottom w:val="single" w:sz="4" w:space="0" w:color="auto"/>
            </w:tcBorders>
          </w:tcPr>
          <w:p w14:paraId="41D4EE24" w14:textId="77777777" w:rsidR="00F14448" w:rsidRPr="00C574FE" w:rsidRDefault="00F14448" w:rsidP="00F14448">
            <w:pPr>
              <w:pStyle w:val="BodyText"/>
              <w:spacing w:line="360" w:lineRule="auto"/>
              <w:ind w:firstLine="0"/>
              <w:jc w:val="center"/>
            </w:pPr>
            <w:r w:rsidRPr="00C574FE">
              <w:t>Free Recall</w:t>
            </w:r>
          </w:p>
        </w:tc>
      </w:tr>
      <w:tr w:rsidR="0081275B" w:rsidRPr="00C574FE" w14:paraId="3E20366F" w14:textId="77777777" w:rsidTr="007D10F3">
        <w:tc>
          <w:tcPr>
            <w:tcW w:w="2518" w:type="dxa"/>
          </w:tcPr>
          <w:p w14:paraId="08D49E14" w14:textId="3D51C0CE" w:rsidR="0081275B" w:rsidRPr="00C574FE" w:rsidRDefault="0081275B" w:rsidP="009F1357">
            <w:pPr>
              <w:spacing w:line="360" w:lineRule="auto"/>
              <w:rPr>
                <w:rFonts w:eastAsia="Batang"/>
                <w:bCs/>
              </w:rPr>
            </w:pPr>
            <w:r w:rsidRPr="00C574FE">
              <w:rPr>
                <w:rFonts w:eastAsia="Batang"/>
                <w:bCs/>
              </w:rPr>
              <w:t>Number Coarse-Grain Items</w:t>
            </w:r>
          </w:p>
        </w:tc>
        <w:tc>
          <w:tcPr>
            <w:tcW w:w="1418" w:type="dxa"/>
          </w:tcPr>
          <w:p w14:paraId="5FC10F4C" w14:textId="77777777" w:rsidR="0081275B" w:rsidRPr="00C574FE" w:rsidRDefault="0081275B" w:rsidP="00F14448">
            <w:pPr>
              <w:spacing w:line="360" w:lineRule="auto"/>
              <w:jc w:val="center"/>
            </w:pPr>
          </w:p>
        </w:tc>
        <w:tc>
          <w:tcPr>
            <w:tcW w:w="1417" w:type="dxa"/>
          </w:tcPr>
          <w:p w14:paraId="0C74D2FE" w14:textId="77777777" w:rsidR="0081275B" w:rsidRPr="00C574FE" w:rsidRDefault="0081275B" w:rsidP="00F14448">
            <w:pPr>
              <w:spacing w:line="360" w:lineRule="auto"/>
              <w:jc w:val="center"/>
            </w:pPr>
          </w:p>
        </w:tc>
        <w:tc>
          <w:tcPr>
            <w:tcW w:w="1276" w:type="dxa"/>
          </w:tcPr>
          <w:p w14:paraId="78CF21D4" w14:textId="77777777" w:rsidR="0081275B" w:rsidRPr="00C574FE" w:rsidRDefault="0081275B" w:rsidP="00F14448">
            <w:pPr>
              <w:spacing w:line="360" w:lineRule="auto"/>
              <w:jc w:val="center"/>
            </w:pPr>
          </w:p>
        </w:tc>
        <w:tc>
          <w:tcPr>
            <w:tcW w:w="1429" w:type="dxa"/>
          </w:tcPr>
          <w:p w14:paraId="3D51ADC3" w14:textId="77777777" w:rsidR="0081275B" w:rsidRPr="00C574FE" w:rsidRDefault="0081275B" w:rsidP="00F14448">
            <w:pPr>
              <w:spacing w:line="360" w:lineRule="auto"/>
              <w:jc w:val="center"/>
            </w:pPr>
          </w:p>
        </w:tc>
        <w:tc>
          <w:tcPr>
            <w:tcW w:w="1342" w:type="dxa"/>
          </w:tcPr>
          <w:p w14:paraId="0183F37A" w14:textId="77777777" w:rsidR="0081275B" w:rsidRPr="00C574FE" w:rsidRDefault="0081275B" w:rsidP="00F14448">
            <w:pPr>
              <w:spacing w:line="360" w:lineRule="auto"/>
              <w:jc w:val="center"/>
            </w:pPr>
          </w:p>
        </w:tc>
      </w:tr>
      <w:tr w:rsidR="00F14448" w:rsidRPr="00C574FE" w14:paraId="5DAA9486" w14:textId="77777777" w:rsidTr="007D10F3">
        <w:tc>
          <w:tcPr>
            <w:tcW w:w="2518" w:type="dxa"/>
          </w:tcPr>
          <w:p w14:paraId="2A65E415" w14:textId="78F96E21" w:rsidR="00F14448" w:rsidRPr="00C574FE" w:rsidRDefault="007D10F3" w:rsidP="0081275B">
            <w:pPr>
              <w:spacing w:line="360" w:lineRule="auto"/>
              <w:ind w:left="323"/>
              <w:jc w:val="both"/>
              <w:rPr>
                <w:rFonts w:eastAsia="Batang"/>
                <w:bCs/>
              </w:rPr>
            </w:pPr>
            <w:r w:rsidRPr="00C574FE">
              <w:rPr>
                <w:rFonts w:eastAsia="Batang"/>
                <w:bCs/>
              </w:rPr>
              <w:t>Experiment 1</w:t>
            </w:r>
          </w:p>
        </w:tc>
        <w:tc>
          <w:tcPr>
            <w:tcW w:w="1418" w:type="dxa"/>
          </w:tcPr>
          <w:p w14:paraId="21EBBC8B" w14:textId="77777777" w:rsidR="00F14448" w:rsidRPr="00C574FE" w:rsidRDefault="00F14448" w:rsidP="00F14448">
            <w:pPr>
              <w:spacing w:line="360" w:lineRule="auto"/>
              <w:jc w:val="center"/>
            </w:pPr>
            <w:r w:rsidRPr="00C574FE">
              <w:t>42.17</w:t>
            </w:r>
          </w:p>
          <w:p w14:paraId="6BACDBD6" w14:textId="77777777" w:rsidR="00F14448" w:rsidRPr="00C574FE" w:rsidRDefault="00F14448" w:rsidP="00F14448">
            <w:pPr>
              <w:spacing w:line="360" w:lineRule="auto"/>
              <w:jc w:val="center"/>
            </w:pPr>
            <w:r w:rsidRPr="00C574FE">
              <w:t>(1.24)</w:t>
            </w:r>
          </w:p>
          <w:p w14:paraId="617A9B8C" w14:textId="77777777" w:rsidR="00F14448" w:rsidRPr="00C574FE" w:rsidRDefault="00F14448" w:rsidP="00F14448">
            <w:pPr>
              <w:spacing w:line="360" w:lineRule="auto"/>
              <w:jc w:val="center"/>
            </w:pPr>
            <w:r w:rsidRPr="00C574FE">
              <w:t>41.64-42.69</w:t>
            </w:r>
          </w:p>
        </w:tc>
        <w:tc>
          <w:tcPr>
            <w:tcW w:w="1417" w:type="dxa"/>
          </w:tcPr>
          <w:p w14:paraId="37AE3EF9" w14:textId="77777777" w:rsidR="00F14448" w:rsidRPr="00C574FE" w:rsidRDefault="00F14448" w:rsidP="00F14448">
            <w:pPr>
              <w:spacing w:line="360" w:lineRule="auto"/>
              <w:jc w:val="center"/>
            </w:pPr>
            <w:r w:rsidRPr="00C574FE">
              <w:t>26.17</w:t>
            </w:r>
          </w:p>
          <w:p w14:paraId="32B2ACA0" w14:textId="77777777" w:rsidR="00F14448" w:rsidRPr="00C574FE" w:rsidRDefault="00F14448" w:rsidP="00F14448">
            <w:pPr>
              <w:spacing w:line="360" w:lineRule="auto"/>
              <w:jc w:val="center"/>
            </w:pPr>
            <w:r w:rsidRPr="00C574FE">
              <w:t>(8.19)</w:t>
            </w:r>
          </w:p>
          <w:p w14:paraId="0B954B9F" w14:textId="77777777" w:rsidR="00F14448" w:rsidRPr="00C574FE" w:rsidRDefault="00F14448" w:rsidP="00F14448">
            <w:pPr>
              <w:spacing w:line="360" w:lineRule="auto"/>
              <w:jc w:val="center"/>
            </w:pPr>
            <w:r w:rsidRPr="00C574FE">
              <w:t>22.71-29.63</w:t>
            </w:r>
          </w:p>
        </w:tc>
        <w:tc>
          <w:tcPr>
            <w:tcW w:w="1276" w:type="dxa"/>
          </w:tcPr>
          <w:p w14:paraId="7982CFE6" w14:textId="77777777" w:rsidR="00F14448" w:rsidRPr="00C574FE" w:rsidRDefault="00F14448" w:rsidP="00F14448">
            <w:pPr>
              <w:spacing w:line="360" w:lineRule="auto"/>
              <w:jc w:val="center"/>
            </w:pPr>
            <w:r w:rsidRPr="00C574FE">
              <w:t>1.16</w:t>
            </w:r>
          </w:p>
          <w:p w14:paraId="2A6EB327" w14:textId="77777777" w:rsidR="00F14448" w:rsidRPr="00C574FE" w:rsidRDefault="00F14448" w:rsidP="00F14448">
            <w:pPr>
              <w:spacing w:line="360" w:lineRule="auto"/>
              <w:jc w:val="center"/>
            </w:pPr>
            <w:r w:rsidRPr="00C574FE">
              <w:t>(1.41)</w:t>
            </w:r>
          </w:p>
          <w:p w14:paraId="73DB97BC" w14:textId="77777777" w:rsidR="00F14448" w:rsidRPr="00C574FE" w:rsidRDefault="00F14448" w:rsidP="00F14448">
            <w:pPr>
              <w:spacing w:line="360" w:lineRule="auto"/>
              <w:jc w:val="center"/>
            </w:pPr>
            <w:r w:rsidRPr="00C574FE">
              <w:t>0.58-1.74</w:t>
            </w:r>
          </w:p>
        </w:tc>
        <w:tc>
          <w:tcPr>
            <w:tcW w:w="1429" w:type="dxa"/>
          </w:tcPr>
          <w:p w14:paraId="4A590CD2" w14:textId="77777777" w:rsidR="00F14448" w:rsidRPr="00C574FE" w:rsidRDefault="00F14448" w:rsidP="00F14448">
            <w:pPr>
              <w:spacing w:line="360" w:lineRule="auto"/>
              <w:jc w:val="center"/>
            </w:pPr>
            <w:r w:rsidRPr="00C574FE">
              <w:t>1.58</w:t>
            </w:r>
          </w:p>
          <w:p w14:paraId="554DA223" w14:textId="77777777" w:rsidR="00F14448" w:rsidRPr="00C574FE" w:rsidRDefault="00F14448" w:rsidP="00F14448">
            <w:pPr>
              <w:spacing w:line="360" w:lineRule="auto"/>
              <w:jc w:val="center"/>
            </w:pPr>
            <w:r w:rsidRPr="00C574FE">
              <w:t>(2.34)</w:t>
            </w:r>
          </w:p>
          <w:p w14:paraId="1E520E5B" w14:textId="77777777" w:rsidR="00F14448" w:rsidRPr="00C574FE" w:rsidRDefault="00F14448" w:rsidP="00F14448">
            <w:pPr>
              <w:spacing w:line="360" w:lineRule="auto"/>
              <w:jc w:val="center"/>
            </w:pPr>
            <w:r w:rsidRPr="00C574FE">
              <w:t>0.60-2.57</w:t>
            </w:r>
          </w:p>
        </w:tc>
        <w:tc>
          <w:tcPr>
            <w:tcW w:w="1342" w:type="dxa"/>
          </w:tcPr>
          <w:p w14:paraId="4CFD7347" w14:textId="77777777" w:rsidR="00F14448" w:rsidRPr="00C574FE" w:rsidRDefault="00F14448" w:rsidP="00F14448">
            <w:pPr>
              <w:spacing w:line="360" w:lineRule="auto"/>
              <w:jc w:val="center"/>
            </w:pPr>
            <w:r w:rsidRPr="00C574FE">
              <w:t>1.12</w:t>
            </w:r>
          </w:p>
          <w:p w14:paraId="323C49CE" w14:textId="77777777" w:rsidR="00F14448" w:rsidRPr="00C574FE" w:rsidRDefault="00F14448" w:rsidP="00F14448">
            <w:pPr>
              <w:spacing w:line="360" w:lineRule="auto"/>
              <w:jc w:val="center"/>
            </w:pPr>
            <w:r w:rsidRPr="00C574FE">
              <w:t>(1.59)</w:t>
            </w:r>
          </w:p>
          <w:p w14:paraId="4DE82399" w14:textId="77777777" w:rsidR="00F14448" w:rsidRPr="00C574FE" w:rsidRDefault="00F14448" w:rsidP="00F14448">
            <w:pPr>
              <w:spacing w:line="360" w:lineRule="auto"/>
              <w:jc w:val="center"/>
            </w:pPr>
            <w:r w:rsidRPr="00C574FE">
              <w:t>0.46-1.78</w:t>
            </w:r>
          </w:p>
        </w:tc>
      </w:tr>
      <w:tr w:rsidR="00CF0A05" w:rsidRPr="00C574FE" w14:paraId="644792CF" w14:textId="77777777" w:rsidTr="009F1357">
        <w:tc>
          <w:tcPr>
            <w:tcW w:w="2518" w:type="dxa"/>
          </w:tcPr>
          <w:p w14:paraId="0EDE3CCD" w14:textId="5B53C777" w:rsidR="00CF0A05" w:rsidRPr="00C574FE" w:rsidRDefault="00CF0A05" w:rsidP="0081275B">
            <w:pPr>
              <w:spacing w:line="360" w:lineRule="auto"/>
              <w:ind w:left="323"/>
              <w:jc w:val="both"/>
              <w:rPr>
                <w:rFonts w:eastAsia="Batang"/>
                <w:bCs/>
              </w:rPr>
            </w:pPr>
            <w:r w:rsidRPr="00C574FE">
              <w:rPr>
                <w:rFonts w:eastAsia="Batang"/>
                <w:bCs/>
              </w:rPr>
              <w:t xml:space="preserve">Experiment </w:t>
            </w:r>
            <w:r w:rsidR="009F1357" w:rsidRPr="00C574FE">
              <w:rPr>
                <w:rFonts w:eastAsia="Batang"/>
                <w:bCs/>
              </w:rPr>
              <w:t>2</w:t>
            </w:r>
          </w:p>
        </w:tc>
        <w:tc>
          <w:tcPr>
            <w:tcW w:w="1418" w:type="dxa"/>
          </w:tcPr>
          <w:p w14:paraId="7ECF2B35" w14:textId="77777777" w:rsidR="00CF0A05" w:rsidRPr="00C574FE" w:rsidRDefault="00CF0A05" w:rsidP="00CF0A05">
            <w:pPr>
              <w:spacing w:line="360" w:lineRule="auto"/>
              <w:jc w:val="center"/>
            </w:pPr>
            <w:r w:rsidRPr="00C574FE">
              <w:t>37.20</w:t>
            </w:r>
          </w:p>
          <w:p w14:paraId="6CB98CEF" w14:textId="77777777" w:rsidR="00CF0A05" w:rsidRPr="00C574FE" w:rsidRDefault="00CF0A05" w:rsidP="00CF0A05">
            <w:pPr>
              <w:spacing w:line="360" w:lineRule="auto"/>
              <w:jc w:val="center"/>
            </w:pPr>
            <w:r w:rsidRPr="00C574FE">
              <w:t>(1.40)</w:t>
            </w:r>
          </w:p>
          <w:p w14:paraId="25609042" w14:textId="77777777" w:rsidR="00CF0A05" w:rsidRPr="00C574FE" w:rsidRDefault="00CF0A05" w:rsidP="00CF0A05">
            <w:pPr>
              <w:spacing w:line="360" w:lineRule="auto"/>
              <w:jc w:val="center"/>
            </w:pPr>
            <w:r w:rsidRPr="00C574FE">
              <w:t>36.55-37.85</w:t>
            </w:r>
          </w:p>
        </w:tc>
        <w:tc>
          <w:tcPr>
            <w:tcW w:w="1417" w:type="dxa"/>
          </w:tcPr>
          <w:p w14:paraId="048AE8F4" w14:textId="77777777" w:rsidR="00CF0A05" w:rsidRPr="00C574FE" w:rsidRDefault="00CF0A05" w:rsidP="00CF0A05">
            <w:pPr>
              <w:spacing w:line="360" w:lineRule="auto"/>
              <w:jc w:val="center"/>
            </w:pPr>
            <w:r w:rsidRPr="00C574FE">
              <w:t>21.80</w:t>
            </w:r>
          </w:p>
          <w:p w14:paraId="60179C39" w14:textId="77777777" w:rsidR="00CF0A05" w:rsidRPr="00C574FE" w:rsidRDefault="00CF0A05" w:rsidP="00CF0A05">
            <w:pPr>
              <w:spacing w:line="360" w:lineRule="auto"/>
              <w:jc w:val="center"/>
            </w:pPr>
            <w:r w:rsidRPr="00C574FE">
              <w:t>(4.47)</w:t>
            </w:r>
          </w:p>
          <w:p w14:paraId="04D130C5" w14:textId="77777777" w:rsidR="00CF0A05" w:rsidRPr="00C574FE" w:rsidRDefault="00CF0A05" w:rsidP="00CF0A05">
            <w:pPr>
              <w:spacing w:line="360" w:lineRule="auto"/>
              <w:jc w:val="center"/>
            </w:pPr>
            <w:r w:rsidRPr="00C574FE">
              <w:t>19.71-23.89</w:t>
            </w:r>
          </w:p>
        </w:tc>
        <w:tc>
          <w:tcPr>
            <w:tcW w:w="1276" w:type="dxa"/>
          </w:tcPr>
          <w:p w14:paraId="6848A4EB" w14:textId="77777777" w:rsidR="00CF0A05" w:rsidRPr="00C574FE" w:rsidRDefault="00CF0A05" w:rsidP="00CF0A05">
            <w:pPr>
              <w:spacing w:line="360" w:lineRule="auto"/>
              <w:jc w:val="center"/>
            </w:pPr>
            <w:r w:rsidRPr="00C574FE">
              <w:t>1.90</w:t>
            </w:r>
          </w:p>
          <w:p w14:paraId="45EBC3C8" w14:textId="77777777" w:rsidR="00CF0A05" w:rsidRPr="00C574FE" w:rsidRDefault="00CF0A05" w:rsidP="00CF0A05">
            <w:pPr>
              <w:spacing w:line="360" w:lineRule="auto"/>
              <w:jc w:val="center"/>
            </w:pPr>
            <w:r w:rsidRPr="00C574FE">
              <w:t>(1.74)</w:t>
            </w:r>
          </w:p>
          <w:p w14:paraId="00C2A587" w14:textId="19EAB496" w:rsidR="00CF0A05" w:rsidRPr="00C574FE" w:rsidRDefault="00CF0A05" w:rsidP="00CF0A05">
            <w:pPr>
              <w:spacing w:line="360" w:lineRule="auto"/>
              <w:jc w:val="center"/>
            </w:pPr>
            <w:r w:rsidRPr="00C574FE">
              <w:t>1</w:t>
            </w:r>
            <w:r w:rsidR="000D6E32" w:rsidRPr="00C574FE">
              <w:t>.</w:t>
            </w:r>
            <w:r w:rsidRPr="00C574FE">
              <w:t>08-2.72</w:t>
            </w:r>
          </w:p>
        </w:tc>
        <w:tc>
          <w:tcPr>
            <w:tcW w:w="1429" w:type="dxa"/>
          </w:tcPr>
          <w:p w14:paraId="4654E5AA" w14:textId="77777777" w:rsidR="00CF0A05" w:rsidRPr="00C574FE" w:rsidRDefault="00CF0A05" w:rsidP="00CF0A05">
            <w:pPr>
              <w:spacing w:line="360" w:lineRule="auto"/>
              <w:jc w:val="center"/>
            </w:pPr>
            <w:r w:rsidRPr="00C574FE">
              <w:t>0.60</w:t>
            </w:r>
          </w:p>
          <w:p w14:paraId="41FB7863" w14:textId="77777777" w:rsidR="00CF0A05" w:rsidRPr="00C574FE" w:rsidRDefault="00CF0A05" w:rsidP="00CF0A05">
            <w:pPr>
              <w:spacing w:line="360" w:lineRule="auto"/>
              <w:jc w:val="center"/>
            </w:pPr>
            <w:r w:rsidRPr="00C574FE">
              <w:t>(0.88)</w:t>
            </w:r>
          </w:p>
          <w:p w14:paraId="674633CC" w14:textId="77777777" w:rsidR="00CF0A05" w:rsidRPr="00C574FE" w:rsidRDefault="00CF0A05" w:rsidP="00CF0A05">
            <w:pPr>
              <w:spacing w:line="360" w:lineRule="auto"/>
              <w:jc w:val="center"/>
            </w:pPr>
            <w:r w:rsidRPr="00C574FE">
              <w:t>0.19-1.01</w:t>
            </w:r>
          </w:p>
        </w:tc>
        <w:tc>
          <w:tcPr>
            <w:tcW w:w="1342" w:type="dxa"/>
          </w:tcPr>
          <w:p w14:paraId="0B3DFE0B" w14:textId="77777777" w:rsidR="00CF0A05" w:rsidRPr="00C574FE" w:rsidRDefault="00CF0A05" w:rsidP="00F14448">
            <w:pPr>
              <w:widowControl w:val="0"/>
              <w:spacing w:line="360" w:lineRule="auto"/>
              <w:jc w:val="center"/>
            </w:pPr>
            <w:r w:rsidRPr="00C574FE">
              <w:t>-</w:t>
            </w:r>
          </w:p>
        </w:tc>
      </w:tr>
      <w:tr w:rsidR="00591D39" w:rsidRPr="00C574FE" w14:paraId="17D71578" w14:textId="77777777" w:rsidTr="00CF151E">
        <w:tc>
          <w:tcPr>
            <w:tcW w:w="2518" w:type="dxa"/>
          </w:tcPr>
          <w:p w14:paraId="3215B3AD" w14:textId="16652C9D" w:rsidR="00591D39" w:rsidRPr="00C574FE" w:rsidRDefault="00591D39" w:rsidP="0081275B">
            <w:pPr>
              <w:spacing w:line="360" w:lineRule="auto"/>
              <w:ind w:left="323"/>
              <w:jc w:val="both"/>
              <w:rPr>
                <w:rFonts w:eastAsia="Batang"/>
                <w:bCs/>
              </w:rPr>
            </w:pPr>
            <w:r w:rsidRPr="00C574FE">
              <w:rPr>
                <w:rFonts w:eastAsia="Batang"/>
                <w:bCs/>
              </w:rPr>
              <w:t xml:space="preserve">Experiment </w:t>
            </w:r>
            <w:r w:rsidR="009F1357" w:rsidRPr="00C574FE">
              <w:rPr>
                <w:rFonts w:eastAsia="Batang"/>
                <w:bCs/>
              </w:rPr>
              <w:t>3</w:t>
            </w:r>
          </w:p>
        </w:tc>
        <w:tc>
          <w:tcPr>
            <w:tcW w:w="1418" w:type="dxa"/>
          </w:tcPr>
          <w:p w14:paraId="059AD2F0" w14:textId="77777777" w:rsidR="00591D39" w:rsidRPr="00C574FE" w:rsidRDefault="00591D39" w:rsidP="00591D39">
            <w:pPr>
              <w:spacing w:line="360" w:lineRule="auto"/>
              <w:jc w:val="center"/>
            </w:pPr>
            <w:r w:rsidRPr="00C574FE">
              <w:t>26.60</w:t>
            </w:r>
          </w:p>
          <w:p w14:paraId="1F9AE18F" w14:textId="77777777" w:rsidR="00591D39" w:rsidRPr="00C574FE" w:rsidRDefault="00591D39" w:rsidP="00591D39">
            <w:pPr>
              <w:spacing w:line="360" w:lineRule="auto"/>
              <w:jc w:val="center"/>
            </w:pPr>
            <w:r w:rsidRPr="00C574FE">
              <w:t>(2.41)</w:t>
            </w:r>
          </w:p>
          <w:p w14:paraId="13CBF069" w14:textId="77777777" w:rsidR="00591D39" w:rsidRPr="00C574FE" w:rsidRDefault="00591D39" w:rsidP="00591D39">
            <w:pPr>
              <w:spacing w:line="360" w:lineRule="auto"/>
              <w:jc w:val="center"/>
            </w:pPr>
            <w:r w:rsidRPr="00C574FE">
              <w:t>25.26-27.94</w:t>
            </w:r>
          </w:p>
        </w:tc>
        <w:tc>
          <w:tcPr>
            <w:tcW w:w="1417" w:type="dxa"/>
          </w:tcPr>
          <w:p w14:paraId="11D2AE3C" w14:textId="77777777" w:rsidR="00591D39" w:rsidRPr="00C574FE" w:rsidRDefault="00591D39" w:rsidP="00591D39">
            <w:pPr>
              <w:spacing w:line="360" w:lineRule="auto"/>
              <w:jc w:val="center"/>
            </w:pPr>
            <w:r w:rsidRPr="00C574FE">
              <w:t>14.53</w:t>
            </w:r>
          </w:p>
          <w:p w14:paraId="5A72EF37" w14:textId="77777777" w:rsidR="00591D39" w:rsidRPr="00C574FE" w:rsidRDefault="00591D39" w:rsidP="00591D39">
            <w:pPr>
              <w:spacing w:line="360" w:lineRule="auto"/>
              <w:jc w:val="center"/>
            </w:pPr>
            <w:r w:rsidRPr="00C574FE">
              <w:t>(2.88)</w:t>
            </w:r>
          </w:p>
          <w:p w14:paraId="064FEC66" w14:textId="77777777" w:rsidR="00591D39" w:rsidRPr="00C574FE" w:rsidRDefault="00591D39" w:rsidP="00591D39">
            <w:pPr>
              <w:spacing w:line="360" w:lineRule="auto"/>
              <w:jc w:val="center"/>
            </w:pPr>
            <w:r w:rsidRPr="00C574FE">
              <w:t>12.94-16.13</w:t>
            </w:r>
          </w:p>
        </w:tc>
        <w:tc>
          <w:tcPr>
            <w:tcW w:w="1276" w:type="dxa"/>
          </w:tcPr>
          <w:p w14:paraId="432CA93F" w14:textId="77777777" w:rsidR="00591D39" w:rsidRPr="00C574FE" w:rsidRDefault="00591D39" w:rsidP="00591D39">
            <w:pPr>
              <w:spacing w:line="360" w:lineRule="auto"/>
              <w:jc w:val="center"/>
            </w:pPr>
            <w:r w:rsidRPr="00C574FE">
              <w:t>1.07</w:t>
            </w:r>
          </w:p>
          <w:p w14:paraId="2365A576" w14:textId="77777777" w:rsidR="00591D39" w:rsidRPr="00C574FE" w:rsidRDefault="00591D39" w:rsidP="00591D39">
            <w:pPr>
              <w:spacing w:line="360" w:lineRule="auto"/>
              <w:jc w:val="center"/>
            </w:pPr>
            <w:r w:rsidRPr="00C574FE">
              <w:t>(1.10)</w:t>
            </w:r>
          </w:p>
          <w:p w14:paraId="0D8975F7" w14:textId="77777777" w:rsidR="00591D39" w:rsidRPr="00C574FE" w:rsidRDefault="00591D39" w:rsidP="00591D39">
            <w:pPr>
              <w:spacing w:line="360" w:lineRule="auto"/>
              <w:jc w:val="center"/>
            </w:pPr>
            <w:r w:rsidRPr="00C574FE">
              <w:t>0.46-1.68</w:t>
            </w:r>
          </w:p>
        </w:tc>
        <w:tc>
          <w:tcPr>
            <w:tcW w:w="1429" w:type="dxa"/>
          </w:tcPr>
          <w:p w14:paraId="6D7F2CE4" w14:textId="77777777" w:rsidR="00591D39" w:rsidRPr="00C574FE" w:rsidRDefault="00591D39" w:rsidP="00591D39">
            <w:pPr>
              <w:spacing w:line="360" w:lineRule="auto"/>
              <w:jc w:val="center"/>
            </w:pPr>
            <w:r w:rsidRPr="00C574FE">
              <w:t>0.40</w:t>
            </w:r>
          </w:p>
          <w:p w14:paraId="42EA0E74" w14:textId="77777777" w:rsidR="00591D39" w:rsidRPr="00C574FE" w:rsidRDefault="00591D39" w:rsidP="00591D39">
            <w:pPr>
              <w:spacing w:line="360" w:lineRule="auto"/>
              <w:jc w:val="center"/>
            </w:pPr>
            <w:r w:rsidRPr="00C574FE">
              <w:t>(0.63)</w:t>
            </w:r>
          </w:p>
          <w:p w14:paraId="28395A13" w14:textId="77777777" w:rsidR="00591D39" w:rsidRPr="00C574FE" w:rsidRDefault="00591D39" w:rsidP="00591D39">
            <w:pPr>
              <w:spacing w:line="360" w:lineRule="auto"/>
              <w:jc w:val="center"/>
            </w:pPr>
            <w:r w:rsidRPr="00C574FE">
              <w:t>0.05-0.75</w:t>
            </w:r>
          </w:p>
        </w:tc>
        <w:tc>
          <w:tcPr>
            <w:tcW w:w="1342" w:type="dxa"/>
          </w:tcPr>
          <w:p w14:paraId="3B414DE4" w14:textId="77777777" w:rsidR="00591D39" w:rsidRPr="00C574FE" w:rsidRDefault="00591D39" w:rsidP="00591D39">
            <w:pPr>
              <w:spacing w:line="360" w:lineRule="auto"/>
              <w:jc w:val="center"/>
            </w:pPr>
            <w:r w:rsidRPr="00C574FE">
              <w:t>1.38</w:t>
            </w:r>
          </w:p>
          <w:p w14:paraId="5355E624" w14:textId="77777777" w:rsidR="00591D39" w:rsidRPr="00C574FE" w:rsidRDefault="00591D39" w:rsidP="00591D39">
            <w:pPr>
              <w:spacing w:line="360" w:lineRule="auto"/>
              <w:jc w:val="center"/>
            </w:pPr>
            <w:r w:rsidRPr="00C574FE">
              <w:t>(1.31)</w:t>
            </w:r>
          </w:p>
          <w:p w14:paraId="216AC367" w14:textId="77777777" w:rsidR="00591D39" w:rsidRPr="00C574FE" w:rsidRDefault="00591D39" w:rsidP="00591D39">
            <w:pPr>
              <w:spacing w:line="360" w:lineRule="auto"/>
              <w:jc w:val="center"/>
            </w:pPr>
            <w:r w:rsidRPr="00C574FE">
              <w:t>0.68-2.07</w:t>
            </w:r>
          </w:p>
        </w:tc>
      </w:tr>
      <w:tr w:rsidR="00CF151E" w:rsidRPr="00C574FE" w14:paraId="00AF6AB9" w14:textId="77777777" w:rsidTr="00CF151E">
        <w:tc>
          <w:tcPr>
            <w:tcW w:w="2518" w:type="dxa"/>
          </w:tcPr>
          <w:p w14:paraId="44CA5DD9" w14:textId="13CB5BDB" w:rsidR="00CF151E" w:rsidRPr="00C574FE" w:rsidRDefault="00CF151E" w:rsidP="0081275B">
            <w:pPr>
              <w:spacing w:line="360" w:lineRule="auto"/>
              <w:rPr>
                <w:rFonts w:eastAsia="Batang"/>
                <w:bCs/>
              </w:rPr>
            </w:pPr>
            <w:r w:rsidRPr="00C574FE">
              <w:rPr>
                <w:rFonts w:eastAsia="Batang"/>
                <w:bCs/>
              </w:rPr>
              <w:t>Number Accurate Coarse-Grain Items</w:t>
            </w:r>
          </w:p>
        </w:tc>
        <w:tc>
          <w:tcPr>
            <w:tcW w:w="1418" w:type="dxa"/>
          </w:tcPr>
          <w:p w14:paraId="227F2C18" w14:textId="77777777" w:rsidR="00CF151E" w:rsidRPr="00C574FE" w:rsidRDefault="00CF151E" w:rsidP="00591D39">
            <w:pPr>
              <w:spacing w:line="360" w:lineRule="auto"/>
              <w:jc w:val="center"/>
            </w:pPr>
          </w:p>
        </w:tc>
        <w:tc>
          <w:tcPr>
            <w:tcW w:w="1417" w:type="dxa"/>
          </w:tcPr>
          <w:p w14:paraId="03CB5B88" w14:textId="77777777" w:rsidR="00CF151E" w:rsidRPr="00C574FE" w:rsidRDefault="00CF151E" w:rsidP="00591D39">
            <w:pPr>
              <w:spacing w:line="360" w:lineRule="auto"/>
              <w:jc w:val="center"/>
            </w:pPr>
          </w:p>
        </w:tc>
        <w:tc>
          <w:tcPr>
            <w:tcW w:w="1276" w:type="dxa"/>
          </w:tcPr>
          <w:p w14:paraId="2B831679" w14:textId="77777777" w:rsidR="00CF151E" w:rsidRPr="00C574FE" w:rsidRDefault="00CF151E" w:rsidP="00591D39">
            <w:pPr>
              <w:spacing w:line="360" w:lineRule="auto"/>
              <w:jc w:val="center"/>
            </w:pPr>
          </w:p>
        </w:tc>
        <w:tc>
          <w:tcPr>
            <w:tcW w:w="1429" w:type="dxa"/>
          </w:tcPr>
          <w:p w14:paraId="5F01DDEC" w14:textId="77777777" w:rsidR="00CF151E" w:rsidRPr="00C574FE" w:rsidRDefault="00CF151E" w:rsidP="00591D39">
            <w:pPr>
              <w:spacing w:line="360" w:lineRule="auto"/>
              <w:jc w:val="center"/>
            </w:pPr>
          </w:p>
        </w:tc>
        <w:tc>
          <w:tcPr>
            <w:tcW w:w="1342" w:type="dxa"/>
          </w:tcPr>
          <w:p w14:paraId="65AB88E3" w14:textId="77777777" w:rsidR="00CF151E" w:rsidRPr="00C574FE" w:rsidRDefault="00CF151E" w:rsidP="00591D39">
            <w:pPr>
              <w:spacing w:line="360" w:lineRule="auto"/>
              <w:jc w:val="center"/>
            </w:pPr>
          </w:p>
        </w:tc>
      </w:tr>
      <w:tr w:rsidR="00CF151E" w:rsidRPr="00C574FE" w14:paraId="4442A918" w14:textId="77777777" w:rsidTr="00CF151E">
        <w:tc>
          <w:tcPr>
            <w:tcW w:w="2518" w:type="dxa"/>
          </w:tcPr>
          <w:p w14:paraId="162E7B6E" w14:textId="77777777" w:rsidR="00CF151E" w:rsidRPr="00C574FE" w:rsidRDefault="00CF151E" w:rsidP="0081275B">
            <w:pPr>
              <w:spacing w:line="360" w:lineRule="auto"/>
              <w:ind w:left="323"/>
              <w:rPr>
                <w:rFonts w:eastAsia="Batang"/>
                <w:bCs/>
              </w:rPr>
            </w:pPr>
            <w:r w:rsidRPr="00C574FE">
              <w:rPr>
                <w:rFonts w:eastAsia="Batang"/>
                <w:bCs/>
              </w:rPr>
              <w:t>Experiment 1</w:t>
            </w:r>
          </w:p>
          <w:p w14:paraId="36A28B81" w14:textId="77777777" w:rsidR="00CF151E" w:rsidRPr="00C574FE" w:rsidRDefault="00CF151E" w:rsidP="0081275B">
            <w:pPr>
              <w:spacing w:line="360" w:lineRule="auto"/>
              <w:ind w:left="323"/>
              <w:rPr>
                <w:rFonts w:eastAsia="Batang"/>
                <w:bCs/>
              </w:rPr>
            </w:pPr>
          </w:p>
        </w:tc>
        <w:tc>
          <w:tcPr>
            <w:tcW w:w="1418" w:type="dxa"/>
          </w:tcPr>
          <w:p w14:paraId="1041D992" w14:textId="77777777" w:rsidR="00CF151E" w:rsidRPr="00C574FE" w:rsidRDefault="00CF151E" w:rsidP="00CF151E">
            <w:pPr>
              <w:widowControl w:val="0"/>
              <w:spacing w:line="360" w:lineRule="auto"/>
              <w:jc w:val="center"/>
            </w:pPr>
            <w:r w:rsidRPr="00C574FE">
              <w:t>27.38</w:t>
            </w:r>
          </w:p>
          <w:p w14:paraId="494468C4" w14:textId="77777777" w:rsidR="00CF151E" w:rsidRPr="00C574FE" w:rsidRDefault="00CF151E" w:rsidP="00CF151E">
            <w:pPr>
              <w:widowControl w:val="0"/>
              <w:spacing w:line="360" w:lineRule="auto"/>
              <w:jc w:val="center"/>
            </w:pPr>
            <w:r w:rsidRPr="00C574FE">
              <w:t>(3.89)</w:t>
            </w:r>
          </w:p>
          <w:p w14:paraId="14CEA7A3" w14:textId="6073FFEB" w:rsidR="00CF151E" w:rsidRPr="00C574FE" w:rsidRDefault="00CF151E" w:rsidP="00CF151E">
            <w:pPr>
              <w:spacing w:line="360" w:lineRule="auto"/>
              <w:jc w:val="center"/>
            </w:pPr>
            <w:r w:rsidRPr="00C574FE">
              <w:t>25.73-29.02</w:t>
            </w:r>
          </w:p>
        </w:tc>
        <w:tc>
          <w:tcPr>
            <w:tcW w:w="1417" w:type="dxa"/>
          </w:tcPr>
          <w:p w14:paraId="5D2DB69B" w14:textId="77777777" w:rsidR="00CF151E" w:rsidRPr="00C574FE" w:rsidRDefault="00CF151E" w:rsidP="00CF151E">
            <w:pPr>
              <w:widowControl w:val="0"/>
              <w:spacing w:line="360" w:lineRule="auto"/>
              <w:jc w:val="center"/>
            </w:pPr>
            <w:r w:rsidRPr="00C574FE">
              <w:t>16.29</w:t>
            </w:r>
          </w:p>
          <w:p w14:paraId="3DC34927" w14:textId="77777777" w:rsidR="00CF151E" w:rsidRPr="00C574FE" w:rsidRDefault="00CF151E" w:rsidP="00CF151E">
            <w:pPr>
              <w:widowControl w:val="0"/>
              <w:spacing w:line="360" w:lineRule="auto"/>
              <w:jc w:val="center"/>
            </w:pPr>
            <w:r w:rsidRPr="00C574FE">
              <w:t>(5.77)</w:t>
            </w:r>
          </w:p>
          <w:p w14:paraId="5701CE89" w14:textId="07DA25C7" w:rsidR="00CF151E" w:rsidRPr="00C574FE" w:rsidRDefault="00CF151E" w:rsidP="00CF151E">
            <w:pPr>
              <w:spacing w:line="360" w:lineRule="auto"/>
              <w:jc w:val="center"/>
            </w:pPr>
            <w:r w:rsidRPr="00C574FE">
              <w:t>13.86-18.73</w:t>
            </w:r>
          </w:p>
        </w:tc>
        <w:tc>
          <w:tcPr>
            <w:tcW w:w="1276" w:type="dxa"/>
          </w:tcPr>
          <w:p w14:paraId="56E7F724" w14:textId="77777777" w:rsidR="00CF151E" w:rsidRPr="00C574FE" w:rsidRDefault="00CF151E" w:rsidP="00CF151E">
            <w:pPr>
              <w:widowControl w:val="0"/>
              <w:spacing w:line="360" w:lineRule="auto"/>
              <w:ind w:left="-108"/>
              <w:jc w:val="center"/>
            </w:pPr>
            <w:r w:rsidRPr="00C574FE">
              <w:t>0.60</w:t>
            </w:r>
          </w:p>
          <w:p w14:paraId="1C011498" w14:textId="77777777" w:rsidR="00CF151E" w:rsidRPr="00C574FE" w:rsidRDefault="00CF151E" w:rsidP="00CF151E">
            <w:pPr>
              <w:widowControl w:val="0"/>
              <w:spacing w:line="360" w:lineRule="auto"/>
              <w:ind w:left="-108"/>
              <w:jc w:val="center"/>
            </w:pPr>
            <w:r w:rsidRPr="00C574FE">
              <w:t>(0.82)</w:t>
            </w:r>
          </w:p>
          <w:p w14:paraId="7B5D520E" w14:textId="707FD000" w:rsidR="00CF151E" w:rsidRPr="00C574FE" w:rsidRDefault="00CF151E" w:rsidP="00CF151E">
            <w:pPr>
              <w:spacing w:line="360" w:lineRule="auto"/>
              <w:jc w:val="center"/>
            </w:pPr>
            <w:r w:rsidRPr="00C574FE">
              <w:t>0.26-0.94</w:t>
            </w:r>
          </w:p>
        </w:tc>
        <w:tc>
          <w:tcPr>
            <w:tcW w:w="1429" w:type="dxa"/>
          </w:tcPr>
          <w:p w14:paraId="725B8675" w14:textId="77777777" w:rsidR="00CF151E" w:rsidRPr="00C574FE" w:rsidRDefault="00CF151E" w:rsidP="00CF151E">
            <w:pPr>
              <w:widowControl w:val="0"/>
              <w:spacing w:line="360" w:lineRule="auto"/>
              <w:jc w:val="center"/>
            </w:pPr>
            <w:r w:rsidRPr="00C574FE">
              <w:t>1.08</w:t>
            </w:r>
          </w:p>
          <w:p w14:paraId="3C423D73" w14:textId="77777777" w:rsidR="00CF151E" w:rsidRPr="00C574FE" w:rsidRDefault="00CF151E" w:rsidP="00CF151E">
            <w:pPr>
              <w:widowControl w:val="0"/>
              <w:spacing w:line="360" w:lineRule="auto"/>
              <w:jc w:val="center"/>
            </w:pPr>
            <w:r w:rsidRPr="00C574FE">
              <w:t>(1.82)</w:t>
            </w:r>
          </w:p>
          <w:p w14:paraId="4621DFB1" w14:textId="543C43DC" w:rsidR="00CF151E" w:rsidRPr="00C574FE" w:rsidRDefault="00CF151E" w:rsidP="00CF151E">
            <w:pPr>
              <w:spacing w:line="360" w:lineRule="auto"/>
              <w:jc w:val="center"/>
            </w:pPr>
            <w:r w:rsidRPr="00C574FE">
              <w:t>0.32-1.85</w:t>
            </w:r>
          </w:p>
        </w:tc>
        <w:tc>
          <w:tcPr>
            <w:tcW w:w="1342" w:type="dxa"/>
          </w:tcPr>
          <w:p w14:paraId="27043C05" w14:textId="77777777" w:rsidR="00CF151E" w:rsidRPr="00C574FE" w:rsidRDefault="00CF151E" w:rsidP="00CF151E">
            <w:pPr>
              <w:widowControl w:val="0"/>
              <w:spacing w:line="360" w:lineRule="auto"/>
              <w:jc w:val="center"/>
            </w:pPr>
            <w:r w:rsidRPr="00C574FE">
              <w:t>0.68</w:t>
            </w:r>
          </w:p>
          <w:p w14:paraId="687F5146" w14:textId="77777777" w:rsidR="00CF151E" w:rsidRPr="00C574FE" w:rsidRDefault="00CF151E" w:rsidP="00CF151E">
            <w:pPr>
              <w:widowControl w:val="0"/>
              <w:spacing w:line="360" w:lineRule="auto"/>
              <w:jc w:val="center"/>
            </w:pPr>
            <w:r w:rsidRPr="00C574FE">
              <w:t>(1.07)</w:t>
            </w:r>
          </w:p>
          <w:p w14:paraId="1C8F65D7" w14:textId="775DD2E0" w:rsidR="00CF151E" w:rsidRPr="00C574FE" w:rsidRDefault="00CF151E" w:rsidP="00CF151E">
            <w:pPr>
              <w:spacing w:line="360" w:lineRule="auto"/>
              <w:jc w:val="center"/>
            </w:pPr>
            <w:r w:rsidRPr="00C574FE">
              <w:t>0.24-1.12</w:t>
            </w:r>
          </w:p>
        </w:tc>
      </w:tr>
      <w:tr w:rsidR="00CF151E" w:rsidRPr="00C574FE" w14:paraId="5F0106AB" w14:textId="77777777" w:rsidTr="00CF151E">
        <w:tc>
          <w:tcPr>
            <w:tcW w:w="2518" w:type="dxa"/>
          </w:tcPr>
          <w:p w14:paraId="656FE385" w14:textId="77777777" w:rsidR="00CF151E" w:rsidRPr="00C574FE" w:rsidRDefault="00CF151E" w:rsidP="0081275B">
            <w:pPr>
              <w:spacing w:line="360" w:lineRule="auto"/>
              <w:ind w:left="323"/>
              <w:rPr>
                <w:rFonts w:eastAsia="Batang"/>
                <w:bCs/>
              </w:rPr>
            </w:pPr>
            <w:r w:rsidRPr="00C574FE">
              <w:rPr>
                <w:rFonts w:eastAsia="Batang"/>
                <w:bCs/>
              </w:rPr>
              <w:t>Experiment 2</w:t>
            </w:r>
          </w:p>
          <w:p w14:paraId="0733E6D4" w14:textId="77777777" w:rsidR="00CF151E" w:rsidRPr="00C574FE" w:rsidRDefault="00CF151E" w:rsidP="0081275B">
            <w:pPr>
              <w:spacing w:line="360" w:lineRule="auto"/>
              <w:ind w:left="323"/>
              <w:rPr>
                <w:rFonts w:eastAsia="Batang"/>
                <w:bCs/>
              </w:rPr>
            </w:pPr>
          </w:p>
        </w:tc>
        <w:tc>
          <w:tcPr>
            <w:tcW w:w="1418" w:type="dxa"/>
          </w:tcPr>
          <w:p w14:paraId="107840CF" w14:textId="77777777" w:rsidR="00CF151E" w:rsidRPr="00C574FE" w:rsidRDefault="00CF151E" w:rsidP="00CF151E">
            <w:pPr>
              <w:widowControl w:val="0"/>
              <w:spacing w:line="360" w:lineRule="auto"/>
              <w:jc w:val="center"/>
            </w:pPr>
            <w:r w:rsidRPr="00C574FE">
              <w:t>23.75</w:t>
            </w:r>
          </w:p>
          <w:p w14:paraId="705AF05B" w14:textId="77777777" w:rsidR="00CF151E" w:rsidRPr="00C574FE" w:rsidRDefault="00CF151E" w:rsidP="00CF151E">
            <w:pPr>
              <w:widowControl w:val="0"/>
              <w:spacing w:line="360" w:lineRule="auto"/>
              <w:jc w:val="center"/>
            </w:pPr>
            <w:r w:rsidRPr="00C574FE">
              <w:t>(3.92)</w:t>
            </w:r>
          </w:p>
          <w:p w14:paraId="6D2B1374" w14:textId="6BC3C4DF" w:rsidR="00CF151E" w:rsidRPr="00C574FE" w:rsidRDefault="00CF151E" w:rsidP="00CF151E">
            <w:pPr>
              <w:spacing w:line="360" w:lineRule="auto"/>
              <w:jc w:val="center"/>
            </w:pPr>
            <w:r w:rsidRPr="00C574FE">
              <w:t>21.92-25.58</w:t>
            </w:r>
          </w:p>
        </w:tc>
        <w:tc>
          <w:tcPr>
            <w:tcW w:w="1417" w:type="dxa"/>
          </w:tcPr>
          <w:p w14:paraId="50649BEB" w14:textId="77777777" w:rsidR="00CF151E" w:rsidRPr="00C574FE" w:rsidRDefault="00CF151E" w:rsidP="00CF151E">
            <w:pPr>
              <w:widowControl w:val="0"/>
              <w:spacing w:line="360" w:lineRule="auto"/>
              <w:jc w:val="center"/>
            </w:pPr>
            <w:r w:rsidRPr="00C574FE">
              <w:t>12.80</w:t>
            </w:r>
          </w:p>
          <w:p w14:paraId="3EBE586B" w14:textId="77777777" w:rsidR="00CF151E" w:rsidRPr="00C574FE" w:rsidRDefault="00CF151E" w:rsidP="00CF151E">
            <w:pPr>
              <w:widowControl w:val="0"/>
              <w:spacing w:line="360" w:lineRule="auto"/>
              <w:jc w:val="center"/>
            </w:pPr>
            <w:r w:rsidRPr="00C574FE">
              <w:t>(4.28)</w:t>
            </w:r>
          </w:p>
          <w:p w14:paraId="28962B13" w14:textId="2752D6BE" w:rsidR="00CF151E" w:rsidRPr="00C574FE" w:rsidRDefault="00CF151E" w:rsidP="00CF151E">
            <w:pPr>
              <w:spacing w:line="360" w:lineRule="auto"/>
              <w:jc w:val="center"/>
            </w:pPr>
            <w:r w:rsidRPr="00C574FE">
              <w:t>10.80-14.80</w:t>
            </w:r>
          </w:p>
        </w:tc>
        <w:tc>
          <w:tcPr>
            <w:tcW w:w="1276" w:type="dxa"/>
          </w:tcPr>
          <w:p w14:paraId="3004F0A5" w14:textId="77777777" w:rsidR="00CF151E" w:rsidRPr="00C574FE" w:rsidRDefault="00CF151E" w:rsidP="00CF151E">
            <w:pPr>
              <w:widowControl w:val="0"/>
              <w:spacing w:line="360" w:lineRule="auto"/>
              <w:jc w:val="center"/>
            </w:pPr>
            <w:r w:rsidRPr="00C574FE">
              <w:t>1.25</w:t>
            </w:r>
          </w:p>
          <w:p w14:paraId="4890B791" w14:textId="77777777" w:rsidR="00CF151E" w:rsidRPr="00C574FE" w:rsidRDefault="00CF151E" w:rsidP="00CF151E">
            <w:pPr>
              <w:widowControl w:val="0"/>
              <w:spacing w:line="360" w:lineRule="auto"/>
              <w:jc w:val="center"/>
            </w:pPr>
            <w:r w:rsidRPr="00C574FE">
              <w:t>(1.62)</w:t>
            </w:r>
          </w:p>
          <w:p w14:paraId="23FF3AF7" w14:textId="72DF1668" w:rsidR="00CF151E" w:rsidRPr="00C574FE" w:rsidRDefault="00CF151E" w:rsidP="00CF151E">
            <w:pPr>
              <w:spacing w:line="360" w:lineRule="auto"/>
              <w:jc w:val="center"/>
            </w:pPr>
            <w:r w:rsidRPr="00C574FE">
              <w:t>0.49-2.01</w:t>
            </w:r>
          </w:p>
        </w:tc>
        <w:tc>
          <w:tcPr>
            <w:tcW w:w="1429" w:type="dxa"/>
          </w:tcPr>
          <w:p w14:paraId="736B80B9" w14:textId="77777777" w:rsidR="00CF151E" w:rsidRPr="00C574FE" w:rsidRDefault="00CF151E" w:rsidP="00CF151E">
            <w:pPr>
              <w:widowControl w:val="0"/>
              <w:spacing w:line="360" w:lineRule="auto"/>
              <w:jc w:val="center"/>
            </w:pPr>
            <w:r w:rsidRPr="00C574FE">
              <w:t>0.20</w:t>
            </w:r>
          </w:p>
          <w:p w14:paraId="7E363D9A" w14:textId="77777777" w:rsidR="00CF151E" w:rsidRPr="00C574FE" w:rsidRDefault="00CF151E" w:rsidP="00CF151E">
            <w:pPr>
              <w:widowControl w:val="0"/>
              <w:spacing w:line="360" w:lineRule="auto"/>
              <w:jc w:val="center"/>
            </w:pPr>
            <w:r w:rsidRPr="00C574FE">
              <w:t>(0.52)</w:t>
            </w:r>
          </w:p>
          <w:p w14:paraId="1185DF03" w14:textId="01E63BA7" w:rsidR="00CF151E" w:rsidRPr="00C574FE" w:rsidRDefault="00CF151E" w:rsidP="00CF151E">
            <w:pPr>
              <w:spacing w:line="360" w:lineRule="auto"/>
              <w:jc w:val="center"/>
            </w:pPr>
            <w:r w:rsidRPr="00C574FE">
              <w:t>-0.04-0.44</w:t>
            </w:r>
          </w:p>
        </w:tc>
        <w:tc>
          <w:tcPr>
            <w:tcW w:w="1342" w:type="dxa"/>
          </w:tcPr>
          <w:p w14:paraId="57C9424A" w14:textId="788B2F23" w:rsidR="00CF151E" w:rsidRPr="00C574FE" w:rsidRDefault="00CF151E" w:rsidP="00CF151E">
            <w:pPr>
              <w:spacing w:line="360" w:lineRule="auto"/>
              <w:jc w:val="center"/>
            </w:pPr>
            <w:r w:rsidRPr="00C574FE">
              <w:t>-</w:t>
            </w:r>
          </w:p>
        </w:tc>
      </w:tr>
      <w:tr w:rsidR="00CF151E" w:rsidRPr="00C574FE" w14:paraId="634AB65C" w14:textId="77777777" w:rsidTr="00CF151E">
        <w:tc>
          <w:tcPr>
            <w:tcW w:w="2518" w:type="dxa"/>
            <w:tcBorders>
              <w:bottom w:val="single" w:sz="4" w:space="0" w:color="auto"/>
            </w:tcBorders>
          </w:tcPr>
          <w:p w14:paraId="0E9C37C6" w14:textId="77777777" w:rsidR="00CF151E" w:rsidRPr="00C574FE" w:rsidRDefault="00CF151E" w:rsidP="0081275B">
            <w:pPr>
              <w:spacing w:line="360" w:lineRule="auto"/>
              <w:ind w:left="323"/>
              <w:rPr>
                <w:rFonts w:eastAsia="Batang"/>
                <w:bCs/>
              </w:rPr>
            </w:pPr>
            <w:r w:rsidRPr="00C574FE">
              <w:rPr>
                <w:rFonts w:eastAsia="Batang"/>
                <w:bCs/>
              </w:rPr>
              <w:t>Experiment 3</w:t>
            </w:r>
          </w:p>
          <w:p w14:paraId="4137C691" w14:textId="77777777" w:rsidR="00CF151E" w:rsidRPr="00C574FE" w:rsidRDefault="00CF151E" w:rsidP="0081275B">
            <w:pPr>
              <w:spacing w:line="360" w:lineRule="auto"/>
              <w:ind w:left="323"/>
              <w:rPr>
                <w:rFonts w:eastAsia="Batang"/>
                <w:bCs/>
              </w:rPr>
            </w:pPr>
          </w:p>
        </w:tc>
        <w:tc>
          <w:tcPr>
            <w:tcW w:w="1418" w:type="dxa"/>
            <w:tcBorders>
              <w:bottom w:val="single" w:sz="4" w:space="0" w:color="auto"/>
            </w:tcBorders>
          </w:tcPr>
          <w:p w14:paraId="1A145A42" w14:textId="77777777" w:rsidR="00CF151E" w:rsidRPr="00C574FE" w:rsidRDefault="00CF151E" w:rsidP="00CF151E">
            <w:pPr>
              <w:widowControl w:val="0"/>
              <w:spacing w:line="360" w:lineRule="auto"/>
              <w:jc w:val="center"/>
            </w:pPr>
            <w:r w:rsidRPr="00C574FE">
              <w:t>16.33</w:t>
            </w:r>
          </w:p>
          <w:p w14:paraId="19D759B7" w14:textId="77777777" w:rsidR="00CF151E" w:rsidRPr="00C574FE" w:rsidRDefault="00CF151E" w:rsidP="00CF151E">
            <w:pPr>
              <w:widowControl w:val="0"/>
              <w:spacing w:line="360" w:lineRule="auto"/>
              <w:jc w:val="center"/>
            </w:pPr>
            <w:r w:rsidRPr="00C574FE">
              <w:t>(2.82)</w:t>
            </w:r>
          </w:p>
          <w:p w14:paraId="13C980CB" w14:textId="75997CBF" w:rsidR="00CF151E" w:rsidRPr="00C574FE" w:rsidRDefault="00CF151E" w:rsidP="00CF151E">
            <w:pPr>
              <w:spacing w:line="360" w:lineRule="auto"/>
              <w:jc w:val="center"/>
            </w:pPr>
            <w:r w:rsidRPr="00C574FE">
              <w:t>14.77-17.89</w:t>
            </w:r>
          </w:p>
        </w:tc>
        <w:tc>
          <w:tcPr>
            <w:tcW w:w="1417" w:type="dxa"/>
            <w:tcBorders>
              <w:bottom w:val="single" w:sz="4" w:space="0" w:color="auto"/>
            </w:tcBorders>
          </w:tcPr>
          <w:p w14:paraId="1C539F3A" w14:textId="77777777" w:rsidR="00CF151E" w:rsidRPr="00C574FE" w:rsidRDefault="00CF151E" w:rsidP="00CF151E">
            <w:pPr>
              <w:widowControl w:val="0"/>
              <w:spacing w:line="360" w:lineRule="auto"/>
              <w:jc w:val="center"/>
            </w:pPr>
            <w:r w:rsidRPr="00C574FE">
              <w:t>8.80</w:t>
            </w:r>
          </w:p>
          <w:p w14:paraId="4F104704" w14:textId="77777777" w:rsidR="00CF151E" w:rsidRPr="00C574FE" w:rsidRDefault="00CF151E" w:rsidP="00CF151E">
            <w:pPr>
              <w:widowControl w:val="0"/>
              <w:spacing w:line="360" w:lineRule="auto"/>
              <w:jc w:val="center"/>
            </w:pPr>
            <w:r w:rsidRPr="00C574FE">
              <w:t>(3.08)</w:t>
            </w:r>
          </w:p>
          <w:p w14:paraId="345EB69A" w14:textId="3E814137" w:rsidR="00CF151E" w:rsidRPr="00C574FE" w:rsidRDefault="00CF151E" w:rsidP="00CF151E">
            <w:pPr>
              <w:spacing w:line="360" w:lineRule="auto"/>
              <w:jc w:val="center"/>
            </w:pPr>
            <w:r w:rsidRPr="00C574FE">
              <w:t>7.10-10.50</w:t>
            </w:r>
          </w:p>
        </w:tc>
        <w:tc>
          <w:tcPr>
            <w:tcW w:w="1276" w:type="dxa"/>
            <w:tcBorders>
              <w:bottom w:val="single" w:sz="4" w:space="0" w:color="auto"/>
            </w:tcBorders>
          </w:tcPr>
          <w:p w14:paraId="7FAFAFDF" w14:textId="77777777" w:rsidR="00CF151E" w:rsidRPr="00C574FE" w:rsidRDefault="00CF151E" w:rsidP="00CF151E">
            <w:pPr>
              <w:widowControl w:val="0"/>
              <w:spacing w:line="360" w:lineRule="auto"/>
              <w:jc w:val="center"/>
            </w:pPr>
            <w:r w:rsidRPr="00C574FE">
              <w:t>0.73</w:t>
            </w:r>
          </w:p>
          <w:p w14:paraId="11FAF680" w14:textId="77777777" w:rsidR="00CF151E" w:rsidRPr="00C574FE" w:rsidRDefault="00CF151E" w:rsidP="00CF151E">
            <w:pPr>
              <w:widowControl w:val="0"/>
              <w:spacing w:line="360" w:lineRule="auto"/>
              <w:jc w:val="center"/>
            </w:pPr>
            <w:r w:rsidRPr="00C574FE">
              <w:t>(0.80)</w:t>
            </w:r>
          </w:p>
          <w:p w14:paraId="308FF708" w14:textId="63CF42F9" w:rsidR="00CF151E" w:rsidRPr="00C574FE" w:rsidRDefault="00CF151E" w:rsidP="00CF151E">
            <w:pPr>
              <w:spacing w:line="360" w:lineRule="auto"/>
              <w:jc w:val="center"/>
            </w:pPr>
            <w:r w:rsidRPr="00C574FE">
              <w:t>0.29-1.18</w:t>
            </w:r>
          </w:p>
        </w:tc>
        <w:tc>
          <w:tcPr>
            <w:tcW w:w="1429" w:type="dxa"/>
            <w:tcBorders>
              <w:bottom w:val="single" w:sz="4" w:space="0" w:color="auto"/>
            </w:tcBorders>
          </w:tcPr>
          <w:p w14:paraId="21492652" w14:textId="77777777" w:rsidR="00CF151E" w:rsidRPr="00C574FE" w:rsidRDefault="00CF151E" w:rsidP="00CF151E">
            <w:pPr>
              <w:widowControl w:val="0"/>
              <w:spacing w:line="360" w:lineRule="auto"/>
              <w:jc w:val="center"/>
            </w:pPr>
            <w:r w:rsidRPr="00C574FE">
              <w:t>0.33</w:t>
            </w:r>
          </w:p>
          <w:p w14:paraId="0E4FE5CB" w14:textId="77777777" w:rsidR="00CF151E" w:rsidRPr="00C574FE" w:rsidRDefault="00CF151E" w:rsidP="00CF151E">
            <w:pPr>
              <w:widowControl w:val="0"/>
              <w:spacing w:line="360" w:lineRule="auto"/>
              <w:jc w:val="center"/>
            </w:pPr>
            <w:r w:rsidRPr="00C574FE">
              <w:t>(0.62)</w:t>
            </w:r>
          </w:p>
          <w:p w14:paraId="1E04B384" w14:textId="2A2F5398" w:rsidR="00CF151E" w:rsidRPr="00C574FE" w:rsidRDefault="00CF151E" w:rsidP="00CF151E">
            <w:pPr>
              <w:spacing w:line="360" w:lineRule="auto"/>
              <w:jc w:val="center"/>
            </w:pPr>
            <w:r w:rsidRPr="00C574FE">
              <w:t>-0.01-0.68</w:t>
            </w:r>
          </w:p>
        </w:tc>
        <w:tc>
          <w:tcPr>
            <w:tcW w:w="1342" w:type="dxa"/>
            <w:tcBorders>
              <w:bottom w:val="single" w:sz="4" w:space="0" w:color="auto"/>
            </w:tcBorders>
          </w:tcPr>
          <w:p w14:paraId="74A6C68E" w14:textId="77777777" w:rsidR="00CF151E" w:rsidRPr="00C574FE" w:rsidRDefault="00CF151E" w:rsidP="00CF151E">
            <w:pPr>
              <w:widowControl w:val="0"/>
              <w:spacing w:line="360" w:lineRule="auto"/>
              <w:jc w:val="center"/>
            </w:pPr>
            <w:r w:rsidRPr="00C574FE">
              <w:t>0.50</w:t>
            </w:r>
          </w:p>
          <w:p w14:paraId="3D1C3BB5" w14:textId="77777777" w:rsidR="00CF151E" w:rsidRPr="00C574FE" w:rsidRDefault="00CF151E" w:rsidP="00CF151E">
            <w:pPr>
              <w:widowControl w:val="0"/>
              <w:spacing w:line="360" w:lineRule="auto"/>
              <w:jc w:val="center"/>
            </w:pPr>
            <w:r w:rsidRPr="00C574FE">
              <w:t>(0.89)</w:t>
            </w:r>
          </w:p>
          <w:p w14:paraId="35679EFA" w14:textId="7F2B6DFC" w:rsidR="00CF151E" w:rsidRPr="00C574FE" w:rsidRDefault="00CF151E" w:rsidP="00CF151E">
            <w:pPr>
              <w:spacing w:line="360" w:lineRule="auto"/>
              <w:jc w:val="center"/>
            </w:pPr>
            <w:r w:rsidRPr="00C574FE">
              <w:t>0.02-0.98</w:t>
            </w:r>
          </w:p>
        </w:tc>
      </w:tr>
    </w:tbl>
    <w:p w14:paraId="5A2478A8" w14:textId="19311E2E" w:rsidR="00F14448" w:rsidRPr="00C574FE" w:rsidRDefault="001C03AE" w:rsidP="00F14448">
      <w:pPr>
        <w:rPr>
          <w:rFonts w:eastAsia="Batang"/>
          <w:bCs/>
        </w:rPr>
      </w:pPr>
      <w:r w:rsidRPr="00C574FE">
        <w:rPr>
          <w:rFonts w:eastAsia="Batang"/>
          <w:bCs/>
        </w:rPr>
        <w:t>Note.  Maximum numbers of coarse-grain responses achievable were 43, 38 and 28 for Experiments 1, 2 and 3, respectively.</w:t>
      </w:r>
    </w:p>
    <w:p w14:paraId="4435B294" w14:textId="77777777" w:rsidR="00F14448" w:rsidRPr="00C574FE" w:rsidRDefault="00F14448" w:rsidP="00F14448">
      <w:pPr>
        <w:tabs>
          <w:tab w:val="clear" w:pos="8640"/>
        </w:tabs>
        <w:spacing w:line="240" w:lineRule="auto"/>
      </w:pPr>
      <w:r w:rsidRPr="00C574FE">
        <w:br w:type="page"/>
      </w:r>
    </w:p>
    <w:p w14:paraId="4C1BA8F3" w14:textId="31AAFDD7" w:rsidR="00E13584" w:rsidRPr="00C574FE" w:rsidRDefault="00E13584" w:rsidP="00E13584">
      <w:pPr>
        <w:pStyle w:val="BodyText"/>
        <w:ind w:firstLine="0"/>
      </w:pPr>
      <w:r w:rsidRPr="00C574FE">
        <w:t xml:space="preserve">Table </w:t>
      </w:r>
      <w:r w:rsidR="00CF151E" w:rsidRPr="00C574FE">
        <w:t>2</w:t>
      </w:r>
    </w:p>
    <w:p w14:paraId="5C2D6225" w14:textId="636D474F" w:rsidR="00E13584" w:rsidRPr="00C574FE" w:rsidRDefault="00E13584" w:rsidP="00E13584">
      <w:pPr>
        <w:rPr>
          <w:rFonts w:eastAsia="Batang"/>
          <w:b/>
          <w:bCs/>
        </w:rPr>
      </w:pPr>
      <w:r w:rsidRPr="00C574FE">
        <w:rPr>
          <w:rFonts w:eastAsia="Batang"/>
          <w:bCs/>
          <w:i/>
        </w:rPr>
        <w:t xml:space="preserve">Mean (SD) </w:t>
      </w:r>
      <w:r w:rsidRPr="00C574FE">
        <w:rPr>
          <w:i/>
        </w:rPr>
        <w:t>and 95% Confidence Intervals</w:t>
      </w:r>
      <w:r w:rsidRPr="00C574FE">
        <w:rPr>
          <w:rFonts w:eastAsia="Batang"/>
          <w:bCs/>
          <w:i/>
        </w:rPr>
        <w:t xml:space="preserve"> for </w:t>
      </w:r>
      <w:r w:rsidR="00C51755" w:rsidRPr="00C574FE">
        <w:rPr>
          <w:rFonts w:eastAsia="Batang"/>
          <w:bCs/>
          <w:i/>
        </w:rPr>
        <w:t xml:space="preserve">(a) </w:t>
      </w:r>
      <w:r w:rsidRPr="00C574FE">
        <w:rPr>
          <w:rFonts w:eastAsia="Batang"/>
          <w:bCs/>
          <w:i/>
        </w:rPr>
        <w:t xml:space="preserve">number of accurate coarse- and fine-grain items </w:t>
      </w:r>
      <w:r w:rsidR="00642EA4" w:rsidRPr="00C574FE">
        <w:rPr>
          <w:rFonts w:eastAsia="Batang"/>
          <w:bCs/>
          <w:i/>
        </w:rPr>
        <w:t xml:space="preserve">combined </w:t>
      </w:r>
      <w:r w:rsidR="00C51755" w:rsidRPr="00C574FE">
        <w:rPr>
          <w:rFonts w:eastAsia="Batang"/>
          <w:bCs/>
          <w:i/>
        </w:rPr>
        <w:t>and (b) proportion correct coarse-grain items</w:t>
      </w:r>
      <w:r w:rsidRPr="00C574FE">
        <w:rPr>
          <w:rFonts w:eastAsia="Batang"/>
          <w:bCs/>
          <w:i/>
        </w:rPr>
        <w:t xml:space="preserve"> for the various interview conditions in Experiments 1-</w:t>
      </w:r>
      <w:r w:rsidR="009F1357" w:rsidRPr="00C574FE">
        <w:rPr>
          <w:rFonts w:eastAsia="Batang"/>
          <w:bCs/>
          <w:i/>
        </w:rPr>
        <w:t>3</w:t>
      </w:r>
      <w:r w:rsidRPr="00C574FE">
        <w:rPr>
          <w:rFonts w:eastAsia="Batang"/>
          <w:bCs/>
          <w:i/>
        </w:rPr>
        <w:t>.</w:t>
      </w:r>
    </w:p>
    <w:tbl>
      <w:tblPr>
        <w:tblStyle w:val="TableGrid"/>
        <w:tblW w:w="9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418"/>
        <w:gridCol w:w="1417"/>
        <w:gridCol w:w="1276"/>
        <w:gridCol w:w="1429"/>
        <w:gridCol w:w="1342"/>
      </w:tblGrid>
      <w:tr w:rsidR="00E13584" w:rsidRPr="00C574FE" w14:paraId="74E543CC" w14:textId="77777777" w:rsidTr="00934CFE">
        <w:tc>
          <w:tcPr>
            <w:tcW w:w="2518" w:type="dxa"/>
            <w:tcBorders>
              <w:top w:val="single" w:sz="4" w:space="0" w:color="auto"/>
            </w:tcBorders>
          </w:tcPr>
          <w:p w14:paraId="541B068C" w14:textId="77777777" w:rsidR="00E13584" w:rsidRPr="00C574FE" w:rsidRDefault="00E13584" w:rsidP="00934CFE">
            <w:pPr>
              <w:spacing w:line="360" w:lineRule="auto"/>
              <w:rPr>
                <w:rFonts w:eastAsia="Batang"/>
                <w:b/>
                <w:bCs/>
              </w:rPr>
            </w:pPr>
          </w:p>
        </w:tc>
        <w:tc>
          <w:tcPr>
            <w:tcW w:w="6882" w:type="dxa"/>
            <w:gridSpan w:val="5"/>
            <w:tcBorders>
              <w:top w:val="single" w:sz="4" w:space="0" w:color="auto"/>
              <w:bottom w:val="single" w:sz="4" w:space="0" w:color="auto"/>
            </w:tcBorders>
          </w:tcPr>
          <w:p w14:paraId="2BD71249" w14:textId="77777777" w:rsidR="00E13584" w:rsidRPr="00C574FE" w:rsidRDefault="00E13584" w:rsidP="00934CFE">
            <w:pPr>
              <w:spacing w:line="360" w:lineRule="auto"/>
              <w:jc w:val="center"/>
              <w:rPr>
                <w:rFonts w:eastAsia="Batang"/>
                <w:bCs/>
              </w:rPr>
            </w:pPr>
            <w:r w:rsidRPr="00C574FE">
              <w:rPr>
                <w:rFonts w:eastAsia="Batang"/>
                <w:bCs/>
              </w:rPr>
              <w:t>Interview Format</w:t>
            </w:r>
          </w:p>
        </w:tc>
      </w:tr>
      <w:tr w:rsidR="00E13584" w:rsidRPr="00C574FE" w14:paraId="5C50D11E" w14:textId="77777777" w:rsidTr="00934CFE">
        <w:tc>
          <w:tcPr>
            <w:tcW w:w="2518" w:type="dxa"/>
            <w:tcBorders>
              <w:bottom w:val="single" w:sz="4" w:space="0" w:color="auto"/>
            </w:tcBorders>
          </w:tcPr>
          <w:p w14:paraId="1A66DBAD" w14:textId="57C96263" w:rsidR="00E13584" w:rsidRPr="00C574FE" w:rsidRDefault="00C51755" w:rsidP="00934CFE">
            <w:pPr>
              <w:spacing w:line="360" w:lineRule="auto"/>
              <w:ind w:left="142" w:hanging="142"/>
              <w:rPr>
                <w:rFonts w:eastAsia="Batang"/>
                <w:bCs/>
              </w:rPr>
            </w:pPr>
            <w:r w:rsidRPr="00C574FE">
              <w:rPr>
                <w:rFonts w:eastAsia="Batang"/>
                <w:bCs/>
              </w:rPr>
              <w:t>Measure</w:t>
            </w:r>
          </w:p>
        </w:tc>
        <w:tc>
          <w:tcPr>
            <w:tcW w:w="1418" w:type="dxa"/>
            <w:tcBorders>
              <w:top w:val="single" w:sz="4" w:space="0" w:color="auto"/>
              <w:bottom w:val="single" w:sz="4" w:space="0" w:color="auto"/>
            </w:tcBorders>
          </w:tcPr>
          <w:p w14:paraId="77064B58" w14:textId="77777777" w:rsidR="00E13584" w:rsidRPr="00C574FE" w:rsidRDefault="00E13584" w:rsidP="00934CFE">
            <w:pPr>
              <w:spacing w:line="360" w:lineRule="auto"/>
              <w:jc w:val="center"/>
              <w:rPr>
                <w:rFonts w:eastAsia="Batang"/>
                <w:bCs/>
              </w:rPr>
            </w:pPr>
            <w:r w:rsidRPr="00C574FE">
              <w:rPr>
                <w:rFonts w:eastAsia="Batang"/>
                <w:bCs/>
              </w:rPr>
              <w:t>Forced Report:</w:t>
            </w:r>
          </w:p>
          <w:p w14:paraId="47856475" w14:textId="77777777" w:rsidR="00E13584" w:rsidRPr="00C574FE" w:rsidRDefault="00E13584" w:rsidP="00934CFE">
            <w:pPr>
              <w:spacing w:line="360" w:lineRule="auto"/>
              <w:jc w:val="center"/>
              <w:rPr>
                <w:rFonts w:eastAsia="Batang"/>
                <w:bCs/>
              </w:rPr>
            </w:pPr>
            <w:r w:rsidRPr="00C574FE">
              <w:rPr>
                <w:rFonts w:eastAsia="Batang"/>
                <w:bCs/>
              </w:rPr>
              <w:t>Initial</w:t>
            </w:r>
          </w:p>
        </w:tc>
        <w:tc>
          <w:tcPr>
            <w:tcW w:w="1417" w:type="dxa"/>
            <w:tcBorders>
              <w:top w:val="single" w:sz="4" w:space="0" w:color="auto"/>
              <w:bottom w:val="single" w:sz="4" w:space="0" w:color="auto"/>
            </w:tcBorders>
          </w:tcPr>
          <w:p w14:paraId="636BAF26" w14:textId="77777777" w:rsidR="00E13584" w:rsidRPr="00C574FE" w:rsidRDefault="00E13584" w:rsidP="00934CFE">
            <w:pPr>
              <w:pStyle w:val="BodyText"/>
              <w:spacing w:line="360" w:lineRule="auto"/>
              <w:ind w:firstLine="0"/>
              <w:jc w:val="center"/>
            </w:pPr>
            <w:r w:rsidRPr="00C574FE">
              <w:t>Forced Report: Preferred</w:t>
            </w:r>
          </w:p>
        </w:tc>
        <w:tc>
          <w:tcPr>
            <w:tcW w:w="1276" w:type="dxa"/>
            <w:tcBorders>
              <w:top w:val="single" w:sz="4" w:space="0" w:color="auto"/>
              <w:bottom w:val="single" w:sz="4" w:space="0" w:color="auto"/>
            </w:tcBorders>
          </w:tcPr>
          <w:p w14:paraId="12052CD7" w14:textId="77777777" w:rsidR="0070591A" w:rsidRPr="00C574FE" w:rsidRDefault="0070591A" w:rsidP="00934CFE">
            <w:pPr>
              <w:pStyle w:val="BodyText"/>
              <w:spacing w:line="360" w:lineRule="auto"/>
              <w:ind w:left="-108" w:firstLine="0"/>
              <w:jc w:val="center"/>
            </w:pPr>
            <w:r w:rsidRPr="00C574FE">
              <w:t>Adapted</w:t>
            </w:r>
          </w:p>
          <w:p w14:paraId="352B2C0F" w14:textId="1DAD077E" w:rsidR="00E13584" w:rsidRPr="00C574FE" w:rsidRDefault="00E13584" w:rsidP="00934CFE">
            <w:pPr>
              <w:pStyle w:val="BodyText"/>
              <w:spacing w:line="360" w:lineRule="auto"/>
              <w:ind w:left="-108" w:firstLine="0"/>
              <w:jc w:val="center"/>
            </w:pPr>
            <w:r w:rsidRPr="00C574FE">
              <w:t>SAI</w:t>
            </w:r>
            <w:r w:rsidR="00ED7BA6" w:rsidRPr="00C574FE">
              <w:rPr>
                <w:vertAlign w:val="superscript"/>
              </w:rPr>
              <w:t>©</w:t>
            </w:r>
          </w:p>
        </w:tc>
        <w:tc>
          <w:tcPr>
            <w:tcW w:w="1429" w:type="dxa"/>
            <w:tcBorders>
              <w:top w:val="single" w:sz="4" w:space="0" w:color="auto"/>
              <w:bottom w:val="single" w:sz="4" w:space="0" w:color="auto"/>
            </w:tcBorders>
          </w:tcPr>
          <w:p w14:paraId="5445FA77" w14:textId="315BD0DC" w:rsidR="00E13584" w:rsidRPr="00C574FE" w:rsidRDefault="00E13584" w:rsidP="00934CFE">
            <w:pPr>
              <w:pStyle w:val="BodyText"/>
              <w:spacing w:line="360" w:lineRule="auto"/>
              <w:ind w:firstLine="46"/>
              <w:jc w:val="center"/>
            </w:pPr>
            <w:r w:rsidRPr="00C574FE">
              <w:t xml:space="preserve">Free Recall </w:t>
            </w:r>
            <w:r w:rsidR="00922FE3" w:rsidRPr="00C574FE">
              <w:t>Plus Confidence</w:t>
            </w:r>
          </w:p>
        </w:tc>
        <w:tc>
          <w:tcPr>
            <w:tcW w:w="1342" w:type="dxa"/>
            <w:tcBorders>
              <w:top w:val="single" w:sz="4" w:space="0" w:color="auto"/>
              <w:bottom w:val="single" w:sz="4" w:space="0" w:color="auto"/>
            </w:tcBorders>
          </w:tcPr>
          <w:p w14:paraId="1BA677DB" w14:textId="77777777" w:rsidR="00E13584" w:rsidRPr="00C574FE" w:rsidRDefault="00E13584" w:rsidP="00934CFE">
            <w:pPr>
              <w:pStyle w:val="BodyText"/>
              <w:spacing w:line="360" w:lineRule="auto"/>
              <w:ind w:firstLine="0"/>
              <w:jc w:val="center"/>
            </w:pPr>
            <w:r w:rsidRPr="00C574FE">
              <w:t>Free Recall</w:t>
            </w:r>
          </w:p>
        </w:tc>
      </w:tr>
      <w:tr w:rsidR="00C51755" w:rsidRPr="00C574FE" w14:paraId="45598651" w14:textId="77777777" w:rsidTr="00934CFE">
        <w:tc>
          <w:tcPr>
            <w:tcW w:w="2518" w:type="dxa"/>
          </w:tcPr>
          <w:p w14:paraId="4972B7D7" w14:textId="657B90CC" w:rsidR="00C51755" w:rsidRPr="00C574FE" w:rsidRDefault="00C51755" w:rsidP="009F1357">
            <w:pPr>
              <w:spacing w:line="360" w:lineRule="auto"/>
              <w:rPr>
                <w:rFonts w:eastAsia="Batang"/>
                <w:bCs/>
              </w:rPr>
            </w:pPr>
            <w:r w:rsidRPr="00C574FE">
              <w:rPr>
                <w:rFonts w:eastAsia="Batang"/>
                <w:bCs/>
              </w:rPr>
              <w:t>Number Accurate Coarse- and Fine-Grain Items</w:t>
            </w:r>
          </w:p>
        </w:tc>
        <w:tc>
          <w:tcPr>
            <w:tcW w:w="1418" w:type="dxa"/>
          </w:tcPr>
          <w:p w14:paraId="51038081" w14:textId="77777777" w:rsidR="00C51755" w:rsidRPr="00C574FE" w:rsidRDefault="00C51755" w:rsidP="00934CFE">
            <w:pPr>
              <w:spacing w:line="360" w:lineRule="auto"/>
              <w:jc w:val="center"/>
            </w:pPr>
          </w:p>
        </w:tc>
        <w:tc>
          <w:tcPr>
            <w:tcW w:w="1417" w:type="dxa"/>
          </w:tcPr>
          <w:p w14:paraId="0E65C70F" w14:textId="77777777" w:rsidR="00C51755" w:rsidRPr="00C574FE" w:rsidRDefault="00C51755" w:rsidP="00934CFE">
            <w:pPr>
              <w:spacing w:line="360" w:lineRule="auto"/>
              <w:jc w:val="center"/>
            </w:pPr>
          </w:p>
        </w:tc>
        <w:tc>
          <w:tcPr>
            <w:tcW w:w="1276" w:type="dxa"/>
          </w:tcPr>
          <w:p w14:paraId="71923707" w14:textId="77777777" w:rsidR="00C51755" w:rsidRPr="00C574FE" w:rsidRDefault="00C51755" w:rsidP="00934CFE">
            <w:pPr>
              <w:spacing w:line="360" w:lineRule="auto"/>
              <w:jc w:val="center"/>
            </w:pPr>
          </w:p>
        </w:tc>
        <w:tc>
          <w:tcPr>
            <w:tcW w:w="1429" w:type="dxa"/>
          </w:tcPr>
          <w:p w14:paraId="11560AAC" w14:textId="77777777" w:rsidR="00C51755" w:rsidRPr="00C574FE" w:rsidRDefault="00C51755" w:rsidP="00934CFE">
            <w:pPr>
              <w:spacing w:line="360" w:lineRule="auto"/>
              <w:jc w:val="center"/>
            </w:pPr>
          </w:p>
        </w:tc>
        <w:tc>
          <w:tcPr>
            <w:tcW w:w="1342" w:type="dxa"/>
          </w:tcPr>
          <w:p w14:paraId="2CE4172B" w14:textId="77777777" w:rsidR="00C51755" w:rsidRPr="00C574FE" w:rsidRDefault="00C51755" w:rsidP="00934CFE">
            <w:pPr>
              <w:spacing w:line="360" w:lineRule="auto"/>
              <w:jc w:val="center"/>
            </w:pPr>
          </w:p>
        </w:tc>
      </w:tr>
      <w:tr w:rsidR="00E13584" w:rsidRPr="00C574FE" w14:paraId="5E1B9635" w14:textId="77777777" w:rsidTr="00934CFE">
        <w:tc>
          <w:tcPr>
            <w:tcW w:w="2518" w:type="dxa"/>
          </w:tcPr>
          <w:p w14:paraId="23734D75" w14:textId="6F1C8E9E" w:rsidR="009F1357" w:rsidRPr="00C574FE" w:rsidRDefault="00E13584" w:rsidP="00C51755">
            <w:pPr>
              <w:spacing w:line="360" w:lineRule="auto"/>
              <w:ind w:left="323"/>
              <w:rPr>
                <w:rFonts w:eastAsia="Batang"/>
                <w:bCs/>
              </w:rPr>
            </w:pPr>
            <w:r w:rsidRPr="00C574FE">
              <w:rPr>
                <w:rFonts w:eastAsia="Batang"/>
                <w:bCs/>
              </w:rPr>
              <w:t>Experiment 1</w:t>
            </w:r>
          </w:p>
          <w:p w14:paraId="196F4804" w14:textId="14EDE508" w:rsidR="00E13584" w:rsidRPr="00C574FE" w:rsidRDefault="00E13584" w:rsidP="00C51755">
            <w:pPr>
              <w:spacing w:line="360" w:lineRule="auto"/>
              <w:ind w:left="323"/>
              <w:rPr>
                <w:rFonts w:eastAsia="Batang"/>
                <w:bCs/>
              </w:rPr>
            </w:pPr>
          </w:p>
        </w:tc>
        <w:tc>
          <w:tcPr>
            <w:tcW w:w="1418" w:type="dxa"/>
          </w:tcPr>
          <w:p w14:paraId="5D2A7201" w14:textId="77777777" w:rsidR="00E13584" w:rsidRPr="00C574FE" w:rsidRDefault="00E13584" w:rsidP="00934CFE">
            <w:pPr>
              <w:spacing w:line="360" w:lineRule="auto"/>
              <w:jc w:val="center"/>
            </w:pPr>
            <w:r w:rsidRPr="00C574FE">
              <w:t>46.63</w:t>
            </w:r>
          </w:p>
          <w:p w14:paraId="4064852D" w14:textId="77777777" w:rsidR="00E13584" w:rsidRPr="00C574FE" w:rsidRDefault="00E13584" w:rsidP="00934CFE">
            <w:pPr>
              <w:spacing w:line="360" w:lineRule="auto"/>
              <w:jc w:val="center"/>
            </w:pPr>
            <w:r w:rsidRPr="00C574FE">
              <w:t>(6.21)</w:t>
            </w:r>
          </w:p>
          <w:p w14:paraId="6B55F001" w14:textId="77777777" w:rsidR="00E13584" w:rsidRPr="00C574FE" w:rsidRDefault="00E13584" w:rsidP="00934CFE">
            <w:pPr>
              <w:spacing w:line="360" w:lineRule="auto"/>
              <w:jc w:val="center"/>
            </w:pPr>
            <w:r w:rsidRPr="00C574FE">
              <w:t>44.00-49.25</w:t>
            </w:r>
          </w:p>
        </w:tc>
        <w:tc>
          <w:tcPr>
            <w:tcW w:w="1417" w:type="dxa"/>
          </w:tcPr>
          <w:p w14:paraId="5AE53C57" w14:textId="77777777" w:rsidR="00E13584" w:rsidRPr="00C574FE" w:rsidRDefault="00E13584" w:rsidP="00934CFE">
            <w:pPr>
              <w:spacing w:line="360" w:lineRule="auto"/>
              <w:jc w:val="center"/>
            </w:pPr>
            <w:r w:rsidRPr="00C574FE">
              <w:t>25.29</w:t>
            </w:r>
          </w:p>
          <w:p w14:paraId="2748B7B0" w14:textId="77777777" w:rsidR="00E13584" w:rsidRPr="00C574FE" w:rsidRDefault="00E13584" w:rsidP="00934CFE">
            <w:pPr>
              <w:spacing w:line="360" w:lineRule="auto"/>
              <w:jc w:val="center"/>
            </w:pPr>
            <w:r w:rsidRPr="00C574FE">
              <w:t>(4.19)</w:t>
            </w:r>
          </w:p>
          <w:p w14:paraId="2BBBABDD" w14:textId="77777777" w:rsidR="00E13584" w:rsidRPr="00C574FE" w:rsidRDefault="00E13584" w:rsidP="00934CFE">
            <w:pPr>
              <w:spacing w:line="360" w:lineRule="auto"/>
              <w:jc w:val="center"/>
            </w:pPr>
            <w:r w:rsidRPr="00C574FE">
              <w:t>23.52-27.06</w:t>
            </w:r>
          </w:p>
        </w:tc>
        <w:tc>
          <w:tcPr>
            <w:tcW w:w="1276" w:type="dxa"/>
          </w:tcPr>
          <w:p w14:paraId="59BCF75A" w14:textId="77777777" w:rsidR="00E13584" w:rsidRPr="00C574FE" w:rsidRDefault="00E13584" w:rsidP="00934CFE">
            <w:pPr>
              <w:spacing w:line="360" w:lineRule="auto"/>
              <w:jc w:val="center"/>
            </w:pPr>
            <w:r w:rsidRPr="00C574FE">
              <w:t>8.40</w:t>
            </w:r>
          </w:p>
          <w:p w14:paraId="416A2F22" w14:textId="77777777" w:rsidR="00E13584" w:rsidRPr="00C574FE" w:rsidRDefault="00E13584" w:rsidP="00934CFE">
            <w:pPr>
              <w:spacing w:line="360" w:lineRule="auto"/>
              <w:jc w:val="center"/>
            </w:pPr>
            <w:r w:rsidRPr="00C574FE">
              <w:t>(2.97)</w:t>
            </w:r>
          </w:p>
          <w:p w14:paraId="219EF35C" w14:textId="77777777" w:rsidR="00E13584" w:rsidRPr="00C574FE" w:rsidRDefault="00E13584" w:rsidP="00934CFE">
            <w:pPr>
              <w:spacing w:line="360" w:lineRule="auto"/>
              <w:jc w:val="center"/>
            </w:pPr>
            <w:r w:rsidRPr="00C574FE">
              <w:t>7.17-9.63</w:t>
            </w:r>
          </w:p>
        </w:tc>
        <w:tc>
          <w:tcPr>
            <w:tcW w:w="1429" w:type="dxa"/>
          </w:tcPr>
          <w:p w14:paraId="69EAD940" w14:textId="77777777" w:rsidR="00E13584" w:rsidRPr="00C574FE" w:rsidRDefault="00E13584" w:rsidP="00934CFE">
            <w:pPr>
              <w:spacing w:line="360" w:lineRule="auto"/>
              <w:jc w:val="center"/>
            </w:pPr>
            <w:r w:rsidRPr="00C574FE">
              <w:t>7.08</w:t>
            </w:r>
          </w:p>
          <w:p w14:paraId="719D5B5E" w14:textId="77777777" w:rsidR="00E13584" w:rsidRPr="00C574FE" w:rsidRDefault="00E13584" w:rsidP="00934CFE">
            <w:pPr>
              <w:spacing w:line="360" w:lineRule="auto"/>
              <w:jc w:val="center"/>
            </w:pPr>
            <w:r w:rsidRPr="00C574FE">
              <w:t>(3.19)</w:t>
            </w:r>
          </w:p>
          <w:p w14:paraId="3CC70D4D" w14:textId="77777777" w:rsidR="00E13584" w:rsidRPr="00C574FE" w:rsidRDefault="00E13584" w:rsidP="00934CFE">
            <w:pPr>
              <w:spacing w:line="360" w:lineRule="auto"/>
              <w:jc w:val="center"/>
            </w:pPr>
            <w:r w:rsidRPr="00C574FE">
              <w:t>5.74-8.43</w:t>
            </w:r>
          </w:p>
        </w:tc>
        <w:tc>
          <w:tcPr>
            <w:tcW w:w="1342" w:type="dxa"/>
          </w:tcPr>
          <w:p w14:paraId="3B560908" w14:textId="77777777" w:rsidR="00E13584" w:rsidRPr="00C574FE" w:rsidRDefault="00E13584" w:rsidP="00934CFE">
            <w:pPr>
              <w:spacing w:line="360" w:lineRule="auto"/>
              <w:jc w:val="center"/>
            </w:pPr>
            <w:r w:rsidRPr="00C574FE">
              <w:t>5.72</w:t>
            </w:r>
          </w:p>
          <w:p w14:paraId="6EA54B60" w14:textId="77777777" w:rsidR="00E13584" w:rsidRPr="00C574FE" w:rsidRDefault="00E13584" w:rsidP="00934CFE">
            <w:pPr>
              <w:spacing w:line="360" w:lineRule="auto"/>
              <w:jc w:val="center"/>
            </w:pPr>
            <w:r w:rsidRPr="00C574FE">
              <w:t>(3.37)</w:t>
            </w:r>
          </w:p>
          <w:p w14:paraId="5649890D" w14:textId="77777777" w:rsidR="00E13584" w:rsidRPr="00C574FE" w:rsidRDefault="00E13584" w:rsidP="00934CFE">
            <w:pPr>
              <w:spacing w:line="360" w:lineRule="auto"/>
              <w:jc w:val="center"/>
            </w:pPr>
            <w:r w:rsidRPr="00C574FE">
              <w:t>4.33-7.11</w:t>
            </w:r>
          </w:p>
        </w:tc>
      </w:tr>
      <w:tr w:rsidR="00E13584" w:rsidRPr="00C574FE" w14:paraId="553E14E2" w14:textId="77777777" w:rsidTr="009F1357">
        <w:tc>
          <w:tcPr>
            <w:tcW w:w="2518" w:type="dxa"/>
          </w:tcPr>
          <w:p w14:paraId="678FD973" w14:textId="558EFA7A" w:rsidR="009F1357" w:rsidRPr="00C574FE" w:rsidRDefault="00E13584" w:rsidP="00C51755">
            <w:pPr>
              <w:spacing w:line="360" w:lineRule="auto"/>
              <w:ind w:left="323"/>
              <w:rPr>
                <w:rFonts w:eastAsia="Batang"/>
                <w:bCs/>
              </w:rPr>
            </w:pPr>
            <w:r w:rsidRPr="00C574FE">
              <w:rPr>
                <w:rFonts w:eastAsia="Batang"/>
                <w:bCs/>
              </w:rPr>
              <w:t xml:space="preserve">Experiment </w:t>
            </w:r>
            <w:r w:rsidR="009F1357" w:rsidRPr="00C574FE">
              <w:rPr>
                <w:rFonts w:eastAsia="Batang"/>
                <w:bCs/>
              </w:rPr>
              <w:t>2</w:t>
            </w:r>
          </w:p>
          <w:p w14:paraId="1496116F" w14:textId="28758C59" w:rsidR="00E13584" w:rsidRPr="00C574FE" w:rsidRDefault="00E13584" w:rsidP="00C51755">
            <w:pPr>
              <w:spacing w:line="360" w:lineRule="auto"/>
              <w:ind w:left="323"/>
              <w:rPr>
                <w:rFonts w:eastAsia="Batang"/>
                <w:bCs/>
              </w:rPr>
            </w:pPr>
          </w:p>
        </w:tc>
        <w:tc>
          <w:tcPr>
            <w:tcW w:w="1418" w:type="dxa"/>
          </w:tcPr>
          <w:p w14:paraId="5C277E14" w14:textId="77777777" w:rsidR="00E13584" w:rsidRPr="00C574FE" w:rsidRDefault="00E13584" w:rsidP="00934CFE">
            <w:pPr>
              <w:spacing w:line="360" w:lineRule="auto"/>
              <w:jc w:val="center"/>
            </w:pPr>
            <w:r w:rsidRPr="00C574FE">
              <w:t>44.05</w:t>
            </w:r>
          </w:p>
          <w:p w14:paraId="721CAC4A" w14:textId="77777777" w:rsidR="00E13584" w:rsidRPr="00C574FE" w:rsidRDefault="00E13584" w:rsidP="00934CFE">
            <w:pPr>
              <w:spacing w:line="360" w:lineRule="auto"/>
              <w:jc w:val="center"/>
            </w:pPr>
            <w:r w:rsidRPr="00C574FE">
              <w:t>(6.66)</w:t>
            </w:r>
          </w:p>
          <w:p w14:paraId="510A89B8" w14:textId="77777777" w:rsidR="00E13584" w:rsidRPr="00C574FE" w:rsidRDefault="00E13584" w:rsidP="00934CFE">
            <w:pPr>
              <w:spacing w:line="360" w:lineRule="auto"/>
              <w:jc w:val="center"/>
            </w:pPr>
            <w:r w:rsidRPr="00C574FE">
              <w:t>40.93-47.17</w:t>
            </w:r>
          </w:p>
        </w:tc>
        <w:tc>
          <w:tcPr>
            <w:tcW w:w="1417" w:type="dxa"/>
          </w:tcPr>
          <w:p w14:paraId="1C5234FB" w14:textId="77777777" w:rsidR="00E13584" w:rsidRPr="00C574FE" w:rsidRDefault="00E13584" w:rsidP="00934CFE">
            <w:pPr>
              <w:spacing w:line="360" w:lineRule="auto"/>
              <w:jc w:val="center"/>
            </w:pPr>
            <w:r w:rsidRPr="00C574FE">
              <w:t>23.70</w:t>
            </w:r>
          </w:p>
          <w:p w14:paraId="18C7528F" w14:textId="77777777" w:rsidR="00E13584" w:rsidRPr="00C574FE" w:rsidRDefault="00E13584" w:rsidP="00934CFE">
            <w:pPr>
              <w:spacing w:line="360" w:lineRule="auto"/>
              <w:jc w:val="center"/>
            </w:pPr>
            <w:r w:rsidRPr="00C574FE">
              <w:t>(4.60)</w:t>
            </w:r>
          </w:p>
          <w:p w14:paraId="31B6F577" w14:textId="77777777" w:rsidR="00E13584" w:rsidRPr="00C574FE" w:rsidRDefault="00E13584" w:rsidP="00934CFE">
            <w:pPr>
              <w:spacing w:line="360" w:lineRule="auto"/>
              <w:jc w:val="center"/>
            </w:pPr>
            <w:r w:rsidRPr="00C574FE">
              <w:t>21.55-25.85</w:t>
            </w:r>
          </w:p>
        </w:tc>
        <w:tc>
          <w:tcPr>
            <w:tcW w:w="1276" w:type="dxa"/>
          </w:tcPr>
          <w:p w14:paraId="52F3B4F0" w14:textId="77777777" w:rsidR="00E13584" w:rsidRPr="00C574FE" w:rsidRDefault="00E13584" w:rsidP="00934CFE">
            <w:pPr>
              <w:spacing w:line="360" w:lineRule="auto"/>
              <w:jc w:val="center"/>
            </w:pPr>
            <w:r w:rsidRPr="00C574FE">
              <w:t>8.50</w:t>
            </w:r>
          </w:p>
          <w:p w14:paraId="6A714BCD" w14:textId="77777777" w:rsidR="00E13584" w:rsidRPr="00C574FE" w:rsidRDefault="00E13584" w:rsidP="00934CFE">
            <w:pPr>
              <w:spacing w:line="360" w:lineRule="auto"/>
              <w:jc w:val="center"/>
            </w:pPr>
            <w:r w:rsidRPr="00C574FE">
              <w:t>(4.45)</w:t>
            </w:r>
          </w:p>
          <w:p w14:paraId="1775F7E7" w14:textId="77777777" w:rsidR="00E13584" w:rsidRPr="00C574FE" w:rsidRDefault="00E13584" w:rsidP="00934CFE">
            <w:pPr>
              <w:spacing w:line="360" w:lineRule="auto"/>
              <w:jc w:val="center"/>
            </w:pPr>
            <w:r w:rsidRPr="00C574FE">
              <w:t>6.42-10.58</w:t>
            </w:r>
          </w:p>
        </w:tc>
        <w:tc>
          <w:tcPr>
            <w:tcW w:w="1429" w:type="dxa"/>
          </w:tcPr>
          <w:p w14:paraId="23B41922" w14:textId="77777777" w:rsidR="00E13584" w:rsidRPr="00C574FE" w:rsidRDefault="00E13584" w:rsidP="00934CFE">
            <w:pPr>
              <w:spacing w:line="360" w:lineRule="auto"/>
              <w:jc w:val="center"/>
            </w:pPr>
            <w:r w:rsidRPr="00C574FE">
              <w:t>5.50</w:t>
            </w:r>
          </w:p>
          <w:p w14:paraId="4F34FA61" w14:textId="77777777" w:rsidR="00E13584" w:rsidRPr="00C574FE" w:rsidRDefault="00E13584" w:rsidP="00934CFE">
            <w:pPr>
              <w:spacing w:line="360" w:lineRule="auto"/>
              <w:jc w:val="center"/>
            </w:pPr>
            <w:r w:rsidRPr="00C574FE">
              <w:t>(2.35)</w:t>
            </w:r>
          </w:p>
          <w:p w14:paraId="3E762A96" w14:textId="77777777" w:rsidR="00E13584" w:rsidRPr="00C574FE" w:rsidRDefault="00E13584" w:rsidP="00934CFE">
            <w:pPr>
              <w:spacing w:line="360" w:lineRule="auto"/>
              <w:jc w:val="center"/>
            </w:pPr>
            <w:r w:rsidRPr="00C574FE">
              <w:t>4.40-6.60</w:t>
            </w:r>
          </w:p>
        </w:tc>
        <w:tc>
          <w:tcPr>
            <w:tcW w:w="1342" w:type="dxa"/>
          </w:tcPr>
          <w:p w14:paraId="564CA40B" w14:textId="77777777" w:rsidR="00E13584" w:rsidRPr="00C574FE" w:rsidRDefault="00E13584" w:rsidP="00934CFE">
            <w:pPr>
              <w:widowControl w:val="0"/>
              <w:spacing w:line="360" w:lineRule="auto"/>
              <w:jc w:val="center"/>
            </w:pPr>
            <w:r w:rsidRPr="00C574FE">
              <w:t>-</w:t>
            </w:r>
          </w:p>
        </w:tc>
      </w:tr>
      <w:tr w:rsidR="00591D39" w:rsidRPr="00C574FE" w14:paraId="115C7BB9" w14:textId="77777777" w:rsidTr="00C51755">
        <w:tc>
          <w:tcPr>
            <w:tcW w:w="2518" w:type="dxa"/>
          </w:tcPr>
          <w:p w14:paraId="139E59CE" w14:textId="0617B65A" w:rsidR="009F1357" w:rsidRPr="00C574FE" w:rsidRDefault="00591D39" w:rsidP="00C51755">
            <w:pPr>
              <w:spacing w:line="360" w:lineRule="auto"/>
              <w:ind w:left="323"/>
              <w:rPr>
                <w:rFonts w:eastAsia="Batang"/>
                <w:bCs/>
              </w:rPr>
            </w:pPr>
            <w:r w:rsidRPr="00C574FE">
              <w:rPr>
                <w:rFonts w:eastAsia="Batang"/>
                <w:bCs/>
              </w:rPr>
              <w:t xml:space="preserve">Experiment </w:t>
            </w:r>
            <w:r w:rsidR="009F1357" w:rsidRPr="00C574FE">
              <w:rPr>
                <w:rFonts w:eastAsia="Batang"/>
                <w:bCs/>
              </w:rPr>
              <w:t>3</w:t>
            </w:r>
          </w:p>
          <w:p w14:paraId="3CE7F134" w14:textId="6CC2A3DB" w:rsidR="00591D39" w:rsidRPr="00C574FE" w:rsidRDefault="00591D39" w:rsidP="00C51755">
            <w:pPr>
              <w:spacing w:line="360" w:lineRule="auto"/>
              <w:ind w:left="323"/>
              <w:rPr>
                <w:rFonts w:eastAsia="Batang"/>
                <w:bCs/>
              </w:rPr>
            </w:pPr>
          </w:p>
        </w:tc>
        <w:tc>
          <w:tcPr>
            <w:tcW w:w="1418" w:type="dxa"/>
          </w:tcPr>
          <w:p w14:paraId="291D28AA" w14:textId="77777777" w:rsidR="00591D39" w:rsidRPr="00C574FE" w:rsidRDefault="00591D39" w:rsidP="00591D39">
            <w:pPr>
              <w:spacing w:line="360" w:lineRule="auto"/>
              <w:jc w:val="center"/>
            </w:pPr>
            <w:r w:rsidRPr="00C574FE">
              <w:t>27.80</w:t>
            </w:r>
          </w:p>
          <w:p w14:paraId="5EADD441" w14:textId="77777777" w:rsidR="00591D39" w:rsidRPr="00C574FE" w:rsidRDefault="00591D39" w:rsidP="00591D39">
            <w:pPr>
              <w:spacing w:line="360" w:lineRule="auto"/>
              <w:jc w:val="center"/>
            </w:pPr>
            <w:r w:rsidRPr="00C574FE">
              <w:t>(3.82)</w:t>
            </w:r>
          </w:p>
          <w:p w14:paraId="4DB49AED" w14:textId="77777777" w:rsidR="00591D39" w:rsidRPr="00C574FE" w:rsidRDefault="00591D39" w:rsidP="00591D39">
            <w:pPr>
              <w:spacing w:line="360" w:lineRule="auto"/>
              <w:jc w:val="center"/>
            </w:pPr>
            <w:r w:rsidRPr="00C574FE">
              <w:t>25.68-29.92</w:t>
            </w:r>
          </w:p>
        </w:tc>
        <w:tc>
          <w:tcPr>
            <w:tcW w:w="1417" w:type="dxa"/>
          </w:tcPr>
          <w:p w14:paraId="24A863B8" w14:textId="77777777" w:rsidR="00591D39" w:rsidRPr="00C574FE" w:rsidRDefault="00591D39" w:rsidP="00591D39">
            <w:pPr>
              <w:spacing w:line="360" w:lineRule="auto"/>
              <w:jc w:val="center"/>
            </w:pPr>
            <w:r w:rsidRPr="00C574FE">
              <w:t>16.33</w:t>
            </w:r>
          </w:p>
          <w:p w14:paraId="6B0659B7" w14:textId="77777777" w:rsidR="00591D39" w:rsidRPr="00C574FE" w:rsidRDefault="00591D39" w:rsidP="00591D39">
            <w:pPr>
              <w:spacing w:line="360" w:lineRule="auto"/>
              <w:jc w:val="center"/>
            </w:pPr>
            <w:r w:rsidRPr="00C574FE">
              <w:t>(2.55)</w:t>
            </w:r>
          </w:p>
          <w:p w14:paraId="6DACB372" w14:textId="77777777" w:rsidR="00591D39" w:rsidRPr="00C574FE" w:rsidRDefault="00591D39" w:rsidP="00591D39">
            <w:pPr>
              <w:spacing w:line="360" w:lineRule="auto"/>
              <w:jc w:val="center"/>
            </w:pPr>
            <w:r w:rsidRPr="00C574FE">
              <w:t>14.92-17.75</w:t>
            </w:r>
          </w:p>
        </w:tc>
        <w:tc>
          <w:tcPr>
            <w:tcW w:w="1276" w:type="dxa"/>
          </w:tcPr>
          <w:p w14:paraId="156D00E5" w14:textId="77777777" w:rsidR="00591D39" w:rsidRPr="00C574FE" w:rsidRDefault="00591D39" w:rsidP="00591D39">
            <w:pPr>
              <w:spacing w:line="360" w:lineRule="auto"/>
              <w:jc w:val="center"/>
            </w:pPr>
            <w:r w:rsidRPr="00C574FE">
              <w:t>4.87</w:t>
            </w:r>
          </w:p>
          <w:p w14:paraId="11C81B00" w14:textId="77777777" w:rsidR="00591D39" w:rsidRPr="00C574FE" w:rsidRDefault="00591D39" w:rsidP="00591D39">
            <w:pPr>
              <w:spacing w:line="360" w:lineRule="auto"/>
              <w:jc w:val="center"/>
            </w:pPr>
            <w:r w:rsidRPr="00C574FE">
              <w:t>(2.26)</w:t>
            </w:r>
          </w:p>
          <w:p w14:paraId="44C07F41" w14:textId="77777777" w:rsidR="00591D39" w:rsidRPr="00C574FE" w:rsidRDefault="00591D39" w:rsidP="00591D39">
            <w:pPr>
              <w:spacing w:line="360" w:lineRule="auto"/>
              <w:jc w:val="center"/>
            </w:pPr>
            <w:r w:rsidRPr="00C574FE">
              <w:t>3.61-6.12</w:t>
            </w:r>
          </w:p>
        </w:tc>
        <w:tc>
          <w:tcPr>
            <w:tcW w:w="1429" w:type="dxa"/>
          </w:tcPr>
          <w:p w14:paraId="27DEB98E" w14:textId="77777777" w:rsidR="00591D39" w:rsidRPr="00C574FE" w:rsidRDefault="00591D39" w:rsidP="00591D39">
            <w:pPr>
              <w:spacing w:line="360" w:lineRule="auto"/>
              <w:jc w:val="center"/>
            </w:pPr>
            <w:r w:rsidRPr="00C574FE">
              <w:t>3.27</w:t>
            </w:r>
          </w:p>
          <w:p w14:paraId="2681475E" w14:textId="77777777" w:rsidR="00591D39" w:rsidRPr="00C574FE" w:rsidRDefault="00591D39" w:rsidP="00591D39">
            <w:pPr>
              <w:spacing w:line="360" w:lineRule="auto"/>
              <w:jc w:val="center"/>
            </w:pPr>
            <w:r w:rsidRPr="00C574FE">
              <w:t>(2.09)</w:t>
            </w:r>
          </w:p>
          <w:p w14:paraId="489B9F44" w14:textId="77777777" w:rsidR="00591D39" w:rsidRPr="00C574FE" w:rsidRDefault="00591D39" w:rsidP="00591D39">
            <w:pPr>
              <w:spacing w:line="360" w:lineRule="auto"/>
              <w:jc w:val="center"/>
            </w:pPr>
            <w:r w:rsidRPr="00C574FE">
              <w:t>2.11-4.42</w:t>
            </w:r>
          </w:p>
        </w:tc>
        <w:tc>
          <w:tcPr>
            <w:tcW w:w="1342" w:type="dxa"/>
          </w:tcPr>
          <w:p w14:paraId="1539BD6F" w14:textId="77777777" w:rsidR="00591D39" w:rsidRPr="00C574FE" w:rsidRDefault="00591D39" w:rsidP="00591D39">
            <w:pPr>
              <w:spacing w:line="360" w:lineRule="auto"/>
              <w:jc w:val="center"/>
            </w:pPr>
            <w:r w:rsidRPr="00C574FE">
              <w:t>3.56</w:t>
            </w:r>
          </w:p>
          <w:p w14:paraId="63251AF9" w14:textId="77777777" w:rsidR="00591D39" w:rsidRPr="00C574FE" w:rsidRDefault="00591D39" w:rsidP="00591D39">
            <w:pPr>
              <w:spacing w:line="360" w:lineRule="auto"/>
              <w:jc w:val="center"/>
            </w:pPr>
            <w:r w:rsidRPr="00C574FE">
              <w:t>(2.34)</w:t>
            </w:r>
          </w:p>
          <w:p w14:paraId="21889F85" w14:textId="77777777" w:rsidR="00591D39" w:rsidRPr="00C574FE" w:rsidRDefault="00591D39" w:rsidP="00591D39">
            <w:pPr>
              <w:spacing w:line="360" w:lineRule="auto"/>
              <w:jc w:val="center"/>
            </w:pPr>
            <w:r w:rsidRPr="00C574FE">
              <w:t>2.32-4.81</w:t>
            </w:r>
          </w:p>
        </w:tc>
      </w:tr>
      <w:tr w:rsidR="00C51755" w:rsidRPr="00C574FE" w14:paraId="48DFEEF2" w14:textId="77777777" w:rsidTr="00C51755">
        <w:tc>
          <w:tcPr>
            <w:tcW w:w="2518" w:type="dxa"/>
          </w:tcPr>
          <w:p w14:paraId="6F5500D9" w14:textId="4F81125E" w:rsidR="00C51755" w:rsidRPr="00C574FE" w:rsidRDefault="00C51755" w:rsidP="00C51755">
            <w:pPr>
              <w:spacing w:line="360" w:lineRule="auto"/>
              <w:rPr>
                <w:rFonts w:eastAsia="Batang"/>
                <w:bCs/>
              </w:rPr>
            </w:pPr>
            <w:r w:rsidRPr="00C574FE">
              <w:rPr>
                <w:rFonts w:eastAsia="Batang"/>
                <w:bCs/>
              </w:rPr>
              <w:t>Proportion Correct Coarse-Grain Items</w:t>
            </w:r>
          </w:p>
        </w:tc>
        <w:tc>
          <w:tcPr>
            <w:tcW w:w="1418" w:type="dxa"/>
          </w:tcPr>
          <w:p w14:paraId="2B0E80D7" w14:textId="77777777" w:rsidR="00C51755" w:rsidRPr="00C574FE" w:rsidRDefault="00C51755" w:rsidP="00591D39">
            <w:pPr>
              <w:spacing w:line="360" w:lineRule="auto"/>
              <w:jc w:val="center"/>
            </w:pPr>
          </w:p>
        </w:tc>
        <w:tc>
          <w:tcPr>
            <w:tcW w:w="1417" w:type="dxa"/>
          </w:tcPr>
          <w:p w14:paraId="66718342" w14:textId="77777777" w:rsidR="00C51755" w:rsidRPr="00C574FE" w:rsidRDefault="00C51755" w:rsidP="00591D39">
            <w:pPr>
              <w:spacing w:line="360" w:lineRule="auto"/>
              <w:jc w:val="center"/>
            </w:pPr>
          </w:p>
        </w:tc>
        <w:tc>
          <w:tcPr>
            <w:tcW w:w="1276" w:type="dxa"/>
          </w:tcPr>
          <w:p w14:paraId="2BC55BEF" w14:textId="77777777" w:rsidR="00C51755" w:rsidRPr="00C574FE" w:rsidRDefault="00C51755" w:rsidP="00591D39">
            <w:pPr>
              <w:spacing w:line="360" w:lineRule="auto"/>
              <w:jc w:val="center"/>
            </w:pPr>
          </w:p>
        </w:tc>
        <w:tc>
          <w:tcPr>
            <w:tcW w:w="1429" w:type="dxa"/>
          </w:tcPr>
          <w:p w14:paraId="4D64BB50" w14:textId="77777777" w:rsidR="00C51755" w:rsidRPr="00C574FE" w:rsidRDefault="00C51755" w:rsidP="00591D39">
            <w:pPr>
              <w:spacing w:line="360" w:lineRule="auto"/>
              <w:jc w:val="center"/>
            </w:pPr>
          </w:p>
        </w:tc>
        <w:tc>
          <w:tcPr>
            <w:tcW w:w="1342" w:type="dxa"/>
          </w:tcPr>
          <w:p w14:paraId="2C72BD96" w14:textId="77777777" w:rsidR="00C51755" w:rsidRPr="00C574FE" w:rsidRDefault="00C51755" w:rsidP="00591D39">
            <w:pPr>
              <w:spacing w:line="360" w:lineRule="auto"/>
              <w:jc w:val="center"/>
            </w:pPr>
          </w:p>
        </w:tc>
      </w:tr>
      <w:tr w:rsidR="00C51755" w:rsidRPr="00C574FE" w14:paraId="55D487DA" w14:textId="77777777" w:rsidTr="00C51755">
        <w:tc>
          <w:tcPr>
            <w:tcW w:w="2518" w:type="dxa"/>
          </w:tcPr>
          <w:p w14:paraId="2D3D8E71" w14:textId="225B3C57" w:rsidR="00C51755" w:rsidRPr="00C574FE" w:rsidRDefault="00C51755" w:rsidP="00C51755">
            <w:pPr>
              <w:spacing w:line="360" w:lineRule="auto"/>
              <w:ind w:left="284" w:firstLine="39"/>
              <w:rPr>
                <w:rFonts w:eastAsia="Batang"/>
                <w:bCs/>
                <w:vertAlign w:val="superscript"/>
              </w:rPr>
            </w:pPr>
            <w:r w:rsidRPr="00C574FE">
              <w:rPr>
                <w:rFonts w:eastAsia="Batang"/>
                <w:bCs/>
              </w:rPr>
              <w:t>Experiment 1</w:t>
            </w:r>
            <w:r w:rsidR="00AB2ACE" w:rsidRPr="00C574FE">
              <w:rPr>
                <w:rFonts w:eastAsia="Batang"/>
                <w:bCs/>
                <w:vertAlign w:val="superscript"/>
              </w:rPr>
              <w:t>a</w:t>
            </w:r>
          </w:p>
        </w:tc>
        <w:tc>
          <w:tcPr>
            <w:tcW w:w="1418" w:type="dxa"/>
          </w:tcPr>
          <w:p w14:paraId="0183C997" w14:textId="77777777" w:rsidR="00C51755" w:rsidRPr="00C574FE" w:rsidRDefault="00C51755" w:rsidP="00C51755">
            <w:pPr>
              <w:widowControl w:val="0"/>
              <w:spacing w:line="360" w:lineRule="auto"/>
              <w:jc w:val="center"/>
            </w:pPr>
            <w:r w:rsidRPr="00C574FE">
              <w:t>0.65</w:t>
            </w:r>
          </w:p>
          <w:p w14:paraId="37D95CDB" w14:textId="77777777" w:rsidR="00C51755" w:rsidRPr="00C574FE" w:rsidRDefault="00C51755" w:rsidP="00C51755">
            <w:pPr>
              <w:widowControl w:val="0"/>
              <w:spacing w:line="360" w:lineRule="auto"/>
              <w:jc w:val="center"/>
            </w:pPr>
            <w:r w:rsidRPr="00C574FE">
              <w:t>(0.09)</w:t>
            </w:r>
          </w:p>
          <w:p w14:paraId="2D8E4172" w14:textId="28CBFD7A" w:rsidR="00C51755" w:rsidRPr="00C574FE" w:rsidRDefault="00C51755" w:rsidP="00C51755">
            <w:pPr>
              <w:spacing w:line="360" w:lineRule="auto"/>
              <w:jc w:val="center"/>
            </w:pPr>
            <w:r w:rsidRPr="00C574FE">
              <w:t>0.61-0.69</w:t>
            </w:r>
          </w:p>
        </w:tc>
        <w:tc>
          <w:tcPr>
            <w:tcW w:w="1417" w:type="dxa"/>
          </w:tcPr>
          <w:p w14:paraId="34C7EDF0" w14:textId="77777777" w:rsidR="00C51755" w:rsidRPr="00C574FE" w:rsidRDefault="00C51755" w:rsidP="00C51755">
            <w:pPr>
              <w:widowControl w:val="0"/>
              <w:spacing w:line="360" w:lineRule="auto"/>
              <w:jc w:val="center"/>
            </w:pPr>
            <w:r w:rsidRPr="00C574FE">
              <w:t>0.62</w:t>
            </w:r>
          </w:p>
          <w:p w14:paraId="74FFE800" w14:textId="77777777" w:rsidR="00C51755" w:rsidRPr="00C574FE" w:rsidRDefault="00C51755" w:rsidP="00C51755">
            <w:pPr>
              <w:widowControl w:val="0"/>
              <w:spacing w:line="360" w:lineRule="auto"/>
              <w:jc w:val="center"/>
            </w:pPr>
            <w:r w:rsidRPr="00C574FE">
              <w:t>(0.11)</w:t>
            </w:r>
          </w:p>
          <w:p w14:paraId="45717553" w14:textId="187443B6" w:rsidR="00C51755" w:rsidRPr="00C574FE" w:rsidRDefault="00C51755" w:rsidP="00C51755">
            <w:pPr>
              <w:spacing w:line="360" w:lineRule="auto"/>
              <w:jc w:val="center"/>
            </w:pPr>
            <w:r w:rsidRPr="00C574FE">
              <w:t>0.58-0.67</w:t>
            </w:r>
          </w:p>
        </w:tc>
        <w:tc>
          <w:tcPr>
            <w:tcW w:w="1276" w:type="dxa"/>
          </w:tcPr>
          <w:p w14:paraId="3F564C66" w14:textId="77777777" w:rsidR="00C51755" w:rsidRPr="00C574FE" w:rsidRDefault="00C51755" w:rsidP="00C51755">
            <w:pPr>
              <w:widowControl w:val="0"/>
              <w:spacing w:line="360" w:lineRule="auto"/>
              <w:jc w:val="center"/>
            </w:pPr>
            <w:r w:rsidRPr="00C574FE">
              <w:t>0.60</w:t>
            </w:r>
          </w:p>
          <w:p w14:paraId="6CBDB021" w14:textId="77777777" w:rsidR="00C51755" w:rsidRPr="00C574FE" w:rsidRDefault="00C51755" w:rsidP="00C51755">
            <w:pPr>
              <w:widowControl w:val="0"/>
              <w:spacing w:line="360" w:lineRule="auto"/>
              <w:jc w:val="center"/>
            </w:pPr>
            <w:r w:rsidRPr="00C574FE">
              <w:t>(0.45)</w:t>
            </w:r>
          </w:p>
          <w:p w14:paraId="2CAED2DC" w14:textId="441AE257" w:rsidR="00C51755" w:rsidRPr="00C574FE" w:rsidRDefault="00C51755" w:rsidP="00C51755">
            <w:pPr>
              <w:spacing w:line="360" w:lineRule="auto"/>
              <w:jc w:val="center"/>
            </w:pPr>
            <w:r w:rsidRPr="00C574FE">
              <w:t>0.36-0.84</w:t>
            </w:r>
          </w:p>
        </w:tc>
        <w:tc>
          <w:tcPr>
            <w:tcW w:w="1429" w:type="dxa"/>
          </w:tcPr>
          <w:p w14:paraId="566A034A" w14:textId="77777777" w:rsidR="00C51755" w:rsidRPr="00C574FE" w:rsidRDefault="00C51755" w:rsidP="00C51755">
            <w:pPr>
              <w:widowControl w:val="0"/>
              <w:spacing w:line="360" w:lineRule="auto"/>
              <w:jc w:val="center"/>
            </w:pPr>
            <w:r w:rsidRPr="00C574FE">
              <w:t>0.67</w:t>
            </w:r>
          </w:p>
          <w:p w14:paraId="3C0D0600" w14:textId="77777777" w:rsidR="00C51755" w:rsidRPr="00C574FE" w:rsidRDefault="00C51755" w:rsidP="00C51755">
            <w:pPr>
              <w:widowControl w:val="0"/>
              <w:spacing w:line="360" w:lineRule="auto"/>
              <w:jc w:val="center"/>
            </w:pPr>
            <w:r w:rsidRPr="00C574FE">
              <w:t>(0.42)</w:t>
            </w:r>
          </w:p>
          <w:p w14:paraId="49DC165E" w14:textId="5AABF8DA" w:rsidR="00C51755" w:rsidRPr="00C574FE" w:rsidRDefault="00C51755" w:rsidP="00C51755">
            <w:pPr>
              <w:spacing w:line="360" w:lineRule="auto"/>
              <w:jc w:val="center"/>
            </w:pPr>
            <w:r w:rsidRPr="00C574FE">
              <w:t>0.42-0.93</w:t>
            </w:r>
          </w:p>
        </w:tc>
        <w:tc>
          <w:tcPr>
            <w:tcW w:w="1342" w:type="dxa"/>
          </w:tcPr>
          <w:p w14:paraId="1276AEA5" w14:textId="77777777" w:rsidR="00C51755" w:rsidRPr="00C574FE" w:rsidRDefault="00C51755" w:rsidP="00C51755">
            <w:pPr>
              <w:widowControl w:val="0"/>
              <w:spacing w:line="360" w:lineRule="auto"/>
              <w:jc w:val="center"/>
            </w:pPr>
            <w:r w:rsidRPr="00C574FE">
              <w:t>0.62</w:t>
            </w:r>
          </w:p>
          <w:p w14:paraId="6E16B58C" w14:textId="77777777" w:rsidR="00C51755" w:rsidRPr="00C574FE" w:rsidRDefault="00C51755" w:rsidP="00C51755">
            <w:pPr>
              <w:widowControl w:val="0"/>
              <w:spacing w:line="360" w:lineRule="auto"/>
              <w:jc w:val="center"/>
            </w:pPr>
            <w:r w:rsidRPr="00C574FE">
              <w:t>(0.43)</w:t>
            </w:r>
          </w:p>
          <w:p w14:paraId="1B52E2D3" w14:textId="783FB23E" w:rsidR="00C51755" w:rsidRPr="00C574FE" w:rsidRDefault="00C51755" w:rsidP="00C51755">
            <w:pPr>
              <w:spacing w:line="360" w:lineRule="auto"/>
              <w:jc w:val="center"/>
            </w:pPr>
            <w:r w:rsidRPr="00C574FE">
              <w:t>0.37-0.86</w:t>
            </w:r>
          </w:p>
        </w:tc>
      </w:tr>
      <w:tr w:rsidR="00C51755" w:rsidRPr="00C574FE" w14:paraId="715A4B01" w14:textId="77777777" w:rsidTr="00AB2ACE">
        <w:tc>
          <w:tcPr>
            <w:tcW w:w="2518" w:type="dxa"/>
          </w:tcPr>
          <w:p w14:paraId="67A7CA04" w14:textId="099843DC" w:rsidR="00C51755" w:rsidRPr="00C574FE" w:rsidRDefault="00C51755" w:rsidP="00C51755">
            <w:pPr>
              <w:spacing w:line="360" w:lineRule="auto"/>
              <w:ind w:left="284" w:firstLine="39"/>
              <w:rPr>
                <w:rFonts w:eastAsia="Batang"/>
                <w:bCs/>
                <w:vertAlign w:val="superscript"/>
              </w:rPr>
            </w:pPr>
            <w:r w:rsidRPr="00C574FE">
              <w:rPr>
                <w:rFonts w:eastAsia="Batang"/>
                <w:bCs/>
              </w:rPr>
              <w:t>Experiment 2</w:t>
            </w:r>
            <w:r w:rsidR="00AB2ACE" w:rsidRPr="00C574FE">
              <w:rPr>
                <w:rFonts w:eastAsia="Batang"/>
                <w:bCs/>
                <w:vertAlign w:val="superscript"/>
              </w:rPr>
              <w:t>b</w:t>
            </w:r>
          </w:p>
        </w:tc>
        <w:tc>
          <w:tcPr>
            <w:tcW w:w="1418" w:type="dxa"/>
          </w:tcPr>
          <w:p w14:paraId="7F9ED5D5" w14:textId="77777777" w:rsidR="00C51755" w:rsidRPr="00C574FE" w:rsidRDefault="00C51755" w:rsidP="00C51755">
            <w:pPr>
              <w:spacing w:line="360" w:lineRule="auto"/>
              <w:jc w:val="center"/>
            </w:pPr>
            <w:r w:rsidRPr="00C574FE">
              <w:t>0.58</w:t>
            </w:r>
          </w:p>
          <w:p w14:paraId="0B7E3D39" w14:textId="77777777" w:rsidR="00C51755" w:rsidRPr="00C574FE" w:rsidRDefault="00C51755" w:rsidP="00C51755">
            <w:pPr>
              <w:spacing w:line="360" w:lineRule="auto"/>
              <w:jc w:val="center"/>
            </w:pPr>
            <w:r w:rsidRPr="00C574FE">
              <w:t>(0.08)</w:t>
            </w:r>
          </w:p>
          <w:p w14:paraId="2AFDD73E" w14:textId="04FF7C77" w:rsidR="00C51755" w:rsidRPr="00C574FE" w:rsidRDefault="00C51755" w:rsidP="00C51755">
            <w:pPr>
              <w:spacing w:line="360" w:lineRule="auto"/>
              <w:jc w:val="center"/>
            </w:pPr>
            <w:r w:rsidRPr="00C574FE">
              <w:t>0.55-0.62</w:t>
            </w:r>
          </w:p>
        </w:tc>
        <w:tc>
          <w:tcPr>
            <w:tcW w:w="1417" w:type="dxa"/>
          </w:tcPr>
          <w:p w14:paraId="5856A304" w14:textId="77777777" w:rsidR="00C51755" w:rsidRPr="00C574FE" w:rsidRDefault="00C51755" w:rsidP="00C51755">
            <w:pPr>
              <w:spacing w:line="360" w:lineRule="auto"/>
              <w:jc w:val="center"/>
            </w:pPr>
            <w:r w:rsidRPr="00C574FE">
              <w:t>0.63</w:t>
            </w:r>
          </w:p>
          <w:p w14:paraId="0EB8BCBA" w14:textId="77777777" w:rsidR="00C51755" w:rsidRPr="00C574FE" w:rsidRDefault="00C51755" w:rsidP="00C51755">
            <w:pPr>
              <w:spacing w:line="360" w:lineRule="auto"/>
              <w:jc w:val="center"/>
            </w:pPr>
            <w:r w:rsidRPr="00C574FE">
              <w:t>(0.12)</w:t>
            </w:r>
          </w:p>
          <w:p w14:paraId="67372C8E" w14:textId="602CF11A" w:rsidR="00C51755" w:rsidRPr="00C574FE" w:rsidRDefault="00C51755" w:rsidP="00C51755">
            <w:pPr>
              <w:spacing w:line="360" w:lineRule="auto"/>
              <w:jc w:val="center"/>
            </w:pPr>
            <w:r w:rsidRPr="00C574FE">
              <w:t>0.58-0.69</w:t>
            </w:r>
          </w:p>
        </w:tc>
        <w:tc>
          <w:tcPr>
            <w:tcW w:w="1276" w:type="dxa"/>
          </w:tcPr>
          <w:p w14:paraId="372A61DD" w14:textId="77777777" w:rsidR="00C51755" w:rsidRPr="00C574FE" w:rsidRDefault="00C51755" w:rsidP="00C51755">
            <w:pPr>
              <w:spacing w:line="360" w:lineRule="auto"/>
              <w:jc w:val="center"/>
            </w:pPr>
            <w:r w:rsidRPr="00C574FE">
              <w:t>0.68</w:t>
            </w:r>
          </w:p>
          <w:p w14:paraId="6FF938F1" w14:textId="77777777" w:rsidR="00C51755" w:rsidRPr="00C574FE" w:rsidRDefault="00C51755" w:rsidP="00C51755">
            <w:pPr>
              <w:spacing w:line="360" w:lineRule="auto"/>
              <w:jc w:val="center"/>
            </w:pPr>
            <w:r w:rsidRPr="00C574FE">
              <w:t>(0.24)</w:t>
            </w:r>
          </w:p>
          <w:p w14:paraId="4AB524EB" w14:textId="470A77B3" w:rsidR="00C51755" w:rsidRPr="00C574FE" w:rsidRDefault="00C51755" w:rsidP="00C51755">
            <w:pPr>
              <w:spacing w:line="360" w:lineRule="auto"/>
              <w:jc w:val="center"/>
            </w:pPr>
            <w:r w:rsidRPr="00C574FE">
              <w:t>0.57-0.79</w:t>
            </w:r>
          </w:p>
        </w:tc>
        <w:tc>
          <w:tcPr>
            <w:tcW w:w="1429" w:type="dxa"/>
          </w:tcPr>
          <w:p w14:paraId="779EFB7F" w14:textId="77777777" w:rsidR="00C51755" w:rsidRPr="00C574FE" w:rsidRDefault="00C51755" w:rsidP="00C51755">
            <w:pPr>
              <w:spacing w:line="360" w:lineRule="auto"/>
              <w:jc w:val="center"/>
            </w:pPr>
            <w:r w:rsidRPr="00C574FE">
              <w:t>0.73</w:t>
            </w:r>
          </w:p>
          <w:p w14:paraId="29231F70" w14:textId="77777777" w:rsidR="00C51755" w:rsidRPr="00C574FE" w:rsidRDefault="00C51755" w:rsidP="00C51755">
            <w:pPr>
              <w:spacing w:line="360" w:lineRule="auto"/>
              <w:jc w:val="center"/>
            </w:pPr>
            <w:r w:rsidRPr="00C574FE">
              <w:t>(0.25)</w:t>
            </w:r>
          </w:p>
          <w:p w14:paraId="22562357" w14:textId="4379DF88" w:rsidR="00C51755" w:rsidRPr="00C574FE" w:rsidRDefault="00C51755" w:rsidP="00C51755">
            <w:pPr>
              <w:spacing w:line="360" w:lineRule="auto"/>
              <w:jc w:val="center"/>
            </w:pPr>
            <w:r w:rsidRPr="00C574FE">
              <w:t>0.62-0.85</w:t>
            </w:r>
          </w:p>
        </w:tc>
        <w:tc>
          <w:tcPr>
            <w:tcW w:w="1342" w:type="dxa"/>
          </w:tcPr>
          <w:p w14:paraId="5D967D85" w14:textId="35814810" w:rsidR="00C51755" w:rsidRPr="00C574FE" w:rsidRDefault="00C51755" w:rsidP="00C51755">
            <w:pPr>
              <w:spacing w:line="360" w:lineRule="auto"/>
              <w:jc w:val="center"/>
            </w:pPr>
            <w:r w:rsidRPr="00C574FE">
              <w:t>-</w:t>
            </w:r>
          </w:p>
        </w:tc>
      </w:tr>
      <w:tr w:rsidR="00C51755" w:rsidRPr="00C574FE" w14:paraId="764F22B0" w14:textId="77777777" w:rsidTr="00AB2ACE">
        <w:tc>
          <w:tcPr>
            <w:tcW w:w="2518" w:type="dxa"/>
            <w:tcBorders>
              <w:bottom w:val="single" w:sz="4" w:space="0" w:color="auto"/>
            </w:tcBorders>
          </w:tcPr>
          <w:p w14:paraId="62A2F4E6" w14:textId="2113A230" w:rsidR="00C51755" w:rsidRPr="00C574FE" w:rsidRDefault="00C51755" w:rsidP="00C51755">
            <w:pPr>
              <w:spacing w:line="360" w:lineRule="auto"/>
              <w:ind w:left="284" w:firstLine="39"/>
              <w:rPr>
                <w:rFonts w:eastAsia="Batang"/>
                <w:bCs/>
                <w:vertAlign w:val="superscript"/>
              </w:rPr>
            </w:pPr>
            <w:r w:rsidRPr="00C574FE">
              <w:rPr>
                <w:rFonts w:eastAsia="Batang"/>
                <w:bCs/>
              </w:rPr>
              <w:t>Experiment 3</w:t>
            </w:r>
            <w:r w:rsidR="00AB2ACE" w:rsidRPr="00C574FE">
              <w:rPr>
                <w:rFonts w:eastAsia="Batang"/>
                <w:bCs/>
                <w:vertAlign w:val="superscript"/>
              </w:rPr>
              <w:t>c</w:t>
            </w:r>
          </w:p>
        </w:tc>
        <w:tc>
          <w:tcPr>
            <w:tcW w:w="1418" w:type="dxa"/>
            <w:tcBorders>
              <w:bottom w:val="single" w:sz="4" w:space="0" w:color="auto"/>
            </w:tcBorders>
          </w:tcPr>
          <w:p w14:paraId="5D4C1F04" w14:textId="77777777" w:rsidR="00C51755" w:rsidRPr="00C574FE" w:rsidRDefault="00C51755" w:rsidP="00C51755">
            <w:pPr>
              <w:widowControl w:val="0"/>
              <w:spacing w:line="360" w:lineRule="auto"/>
              <w:jc w:val="center"/>
            </w:pPr>
            <w:r w:rsidRPr="00C574FE">
              <w:t>0.61</w:t>
            </w:r>
          </w:p>
          <w:p w14:paraId="4C4EB565" w14:textId="77777777" w:rsidR="00C51755" w:rsidRPr="00C574FE" w:rsidRDefault="00C51755" w:rsidP="00C51755">
            <w:pPr>
              <w:widowControl w:val="0"/>
              <w:spacing w:line="360" w:lineRule="auto"/>
              <w:jc w:val="center"/>
            </w:pPr>
            <w:r w:rsidRPr="00C574FE">
              <w:t>(0.09)</w:t>
            </w:r>
          </w:p>
          <w:p w14:paraId="209A16E4" w14:textId="0291AE79" w:rsidR="00C51755" w:rsidRPr="00C574FE" w:rsidRDefault="00C51755" w:rsidP="00C51755">
            <w:pPr>
              <w:spacing w:line="360" w:lineRule="auto"/>
              <w:jc w:val="center"/>
            </w:pPr>
            <w:r w:rsidRPr="00C574FE">
              <w:t>0.57-0.66</w:t>
            </w:r>
          </w:p>
        </w:tc>
        <w:tc>
          <w:tcPr>
            <w:tcW w:w="1417" w:type="dxa"/>
            <w:tcBorders>
              <w:bottom w:val="single" w:sz="4" w:space="0" w:color="auto"/>
            </w:tcBorders>
          </w:tcPr>
          <w:p w14:paraId="29DF1613" w14:textId="77777777" w:rsidR="00C51755" w:rsidRPr="00C574FE" w:rsidRDefault="00C51755" w:rsidP="00C51755">
            <w:pPr>
              <w:widowControl w:val="0"/>
              <w:spacing w:line="360" w:lineRule="auto"/>
              <w:jc w:val="center"/>
            </w:pPr>
            <w:r w:rsidRPr="00C574FE">
              <w:t>0.60</w:t>
            </w:r>
          </w:p>
          <w:p w14:paraId="6E5EA0A2" w14:textId="77777777" w:rsidR="00C51755" w:rsidRPr="00C574FE" w:rsidRDefault="00C51755" w:rsidP="00C51755">
            <w:pPr>
              <w:widowControl w:val="0"/>
              <w:spacing w:line="360" w:lineRule="auto"/>
              <w:jc w:val="center"/>
            </w:pPr>
            <w:r w:rsidRPr="00C574FE">
              <w:t>(0.15)</w:t>
            </w:r>
          </w:p>
          <w:p w14:paraId="526CDB8E" w14:textId="3F454D81" w:rsidR="00C51755" w:rsidRPr="00C574FE" w:rsidRDefault="00C51755" w:rsidP="00C51755">
            <w:pPr>
              <w:spacing w:line="360" w:lineRule="auto"/>
              <w:jc w:val="center"/>
            </w:pPr>
            <w:r w:rsidRPr="00C574FE">
              <w:t>0.52-0.68</w:t>
            </w:r>
          </w:p>
        </w:tc>
        <w:tc>
          <w:tcPr>
            <w:tcW w:w="1276" w:type="dxa"/>
            <w:tcBorders>
              <w:bottom w:val="single" w:sz="4" w:space="0" w:color="auto"/>
            </w:tcBorders>
          </w:tcPr>
          <w:p w14:paraId="60BB2202" w14:textId="77777777" w:rsidR="00C51755" w:rsidRPr="00C574FE" w:rsidRDefault="00C51755" w:rsidP="00C51755">
            <w:pPr>
              <w:widowControl w:val="0"/>
              <w:spacing w:line="360" w:lineRule="auto"/>
              <w:jc w:val="center"/>
            </w:pPr>
            <w:r w:rsidRPr="00C574FE">
              <w:t>0.71</w:t>
            </w:r>
          </w:p>
          <w:p w14:paraId="06147FE5" w14:textId="77777777" w:rsidR="00C51755" w:rsidRPr="00C574FE" w:rsidRDefault="00C51755" w:rsidP="00C51755">
            <w:pPr>
              <w:widowControl w:val="0"/>
              <w:spacing w:line="360" w:lineRule="auto"/>
              <w:jc w:val="center"/>
            </w:pPr>
            <w:r w:rsidRPr="00C574FE">
              <w:t>(0.25)</w:t>
            </w:r>
          </w:p>
          <w:p w14:paraId="352FAF4D" w14:textId="5B7B2D83" w:rsidR="00C51755" w:rsidRPr="00C574FE" w:rsidRDefault="00C51755" w:rsidP="00C51755">
            <w:pPr>
              <w:spacing w:line="360" w:lineRule="auto"/>
              <w:jc w:val="center"/>
            </w:pPr>
            <w:r w:rsidRPr="00C574FE">
              <w:t>0.50-0.92</w:t>
            </w:r>
          </w:p>
        </w:tc>
        <w:tc>
          <w:tcPr>
            <w:tcW w:w="1429" w:type="dxa"/>
            <w:tcBorders>
              <w:bottom w:val="single" w:sz="4" w:space="0" w:color="auto"/>
            </w:tcBorders>
          </w:tcPr>
          <w:p w14:paraId="1F8DD2B5" w14:textId="77777777" w:rsidR="00C51755" w:rsidRPr="00C574FE" w:rsidRDefault="00C51755" w:rsidP="00C51755">
            <w:pPr>
              <w:widowControl w:val="0"/>
              <w:spacing w:line="360" w:lineRule="auto"/>
              <w:jc w:val="center"/>
            </w:pPr>
            <w:r w:rsidRPr="00C574FE">
              <w:t>0.80</w:t>
            </w:r>
          </w:p>
          <w:p w14:paraId="1ED9349C" w14:textId="77777777" w:rsidR="00C51755" w:rsidRPr="00C574FE" w:rsidRDefault="00C51755" w:rsidP="00C51755">
            <w:pPr>
              <w:widowControl w:val="0"/>
              <w:spacing w:line="360" w:lineRule="auto"/>
              <w:jc w:val="center"/>
            </w:pPr>
            <w:r w:rsidRPr="00C574FE">
              <w:t>(0.45)</w:t>
            </w:r>
          </w:p>
          <w:p w14:paraId="0164F937" w14:textId="0DC409C2" w:rsidR="00C51755" w:rsidRPr="00C574FE" w:rsidRDefault="00C51755" w:rsidP="00C51755">
            <w:pPr>
              <w:spacing w:line="360" w:lineRule="auto"/>
              <w:jc w:val="center"/>
            </w:pPr>
            <w:r w:rsidRPr="00C574FE">
              <w:t>0.24-1.36</w:t>
            </w:r>
          </w:p>
        </w:tc>
        <w:tc>
          <w:tcPr>
            <w:tcW w:w="1342" w:type="dxa"/>
            <w:tcBorders>
              <w:bottom w:val="single" w:sz="4" w:space="0" w:color="auto"/>
            </w:tcBorders>
          </w:tcPr>
          <w:p w14:paraId="34B71D16" w14:textId="77777777" w:rsidR="00C51755" w:rsidRPr="00C574FE" w:rsidRDefault="00C51755" w:rsidP="00C51755">
            <w:pPr>
              <w:widowControl w:val="0"/>
              <w:spacing w:line="360" w:lineRule="auto"/>
              <w:jc w:val="center"/>
            </w:pPr>
            <w:r w:rsidRPr="00C574FE">
              <w:t>0.30</w:t>
            </w:r>
          </w:p>
          <w:p w14:paraId="6FE3A503" w14:textId="77777777" w:rsidR="00C51755" w:rsidRPr="00C574FE" w:rsidRDefault="00C51755" w:rsidP="00C51755">
            <w:pPr>
              <w:widowControl w:val="0"/>
              <w:spacing w:line="360" w:lineRule="auto"/>
              <w:jc w:val="center"/>
            </w:pPr>
            <w:r w:rsidRPr="00C574FE">
              <w:t>(0.40)</w:t>
            </w:r>
          </w:p>
          <w:p w14:paraId="19B95719" w14:textId="0B3E63FF" w:rsidR="00C51755" w:rsidRPr="00C574FE" w:rsidRDefault="00C51755" w:rsidP="00C51755">
            <w:pPr>
              <w:spacing w:line="360" w:lineRule="auto"/>
              <w:jc w:val="center"/>
            </w:pPr>
            <w:r w:rsidRPr="00C574FE">
              <w:t>0.04-0.56</w:t>
            </w:r>
          </w:p>
        </w:tc>
      </w:tr>
    </w:tbl>
    <w:p w14:paraId="66F2322E" w14:textId="6803AAAE" w:rsidR="00E13584" w:rsidRPr="00C574FE" w:rsidRDefault="00AB2ACE" w:rsidP="00AB2ACE">
      <w:pPr>
        <w:pStyle w:val="ANPhDThesisBody"/>
        <w:spacing w:line="360" w:lineRule="auto"/>
        <w:ind w:firstLine="0"/>
      </w:pPr>
      <w:r w:rsidRPr="00C574FE">
        <w:rPr>
          <w:rFonts w:eastAsia="Batang"/>
          <w:bCs/>
          <w:vertAlign w:val="superscript"/>
        </w:rPr>
        <w:t>a</w:t>
      </w:r>
      <w:r w:rsidRPr="00C574FE">
        <w:rPr>
          <w:szCs w:val="24"/>
        </w:rPr>
        <w:t xml:space="preserve">SAI </w:t>
      </w:r>
      <w:r w:rsidRPr="00C574FE">
        <w:rPr>
          <w:i/>
          <w:szCs w:val="24"/>
        </w:rPr>
        <w:t>n</w:t>
      </w:r>
      <w:r w:rsidRPr="00C574FE">
        <w:rPr>
          <w:szCs w:val="24"/>
        </w:rPr>
        <w:t xml:space="preserve"> = 16;  Free Recall Plus Confidence </w:t>
      </w:r>
      <w:r w:rsidRPr="00C574FE">
        <w:rPr>
          <w:i/>
          <w:szCs w:val="24"/>
        </w:rPr>
        <w:t>n</w:t>
      </w:r>
      <w:r w:rsidRPr="00C574FE">
        <w:rPr>
          <w:szCs w:val="24"/>
        </w:rPr>
        <w:t xml:space="preserve">=13;  Free Recall </w:t>
      </w:r>
      <w:r w:rsidRPr="00C574FE">
        <w:rPr>
          <w:i/>
          <w:szCs w:val="24"/>
        </w:rPr>
        <w:t>n</w:t>
      </w:r>
      <w:r w:rsidRPr="00C574FE">
        <w:rPr>
          <w:szCs w:val="24"/>
        </w:rPr>
        <w:t xml:space="preserve">=14;  </w:t>
      </w:r>
      <w:r w:rsidRPr="00C574FE">
        <w:rPr>
          <w:rFonts w:eastAsia="Batang"/>
          <w:bCs/>
          <w:vertAlign w:val="superscript"/>
        </w:rPr>
        <w:t>b</w:t>
      </w:r>
      <w:r w:rsidRPr="00C574FE">
        <w:rPr>
          <w:szCs w:val="24"/>
        </w:rPr>
        <w:t xml:space="preserve">SAI </w:t>
      </w:r>
      <w:r w:rsidRPr="00C574FE">
        <w:rPr>
          <w:i/>
          <w:szCs w:val="24"/>
        </w:rPr>
        <w:t>n</w:t>
      </w:r>
      <w:r w:rsidRPr="00C574FE">
        <w:rPr>
          <w:szCs w:val="24"/>
        </w:rPr>
        <w:t xml:space="preserve">=15;  Free Recall Plus Confidence </w:t>
      </w:r>
      <w:r w:rsidRPr="00C574FE">
        <w:rPr>
          <w:i/>
          <w:szCs w:val="24"/>
        </w:rPr>
        <w:t>n</w:t>
      </w:r>
      <w:r w:rsidRPr="00C574FE">
        <w:rPr>
          <w:szCs w:val="24"/>
        </w:rPr>
        <w:t xml:space="preserve">=8;  </w:t>
      </w:r>
      <w:r w:rsidRPr="00C574FE">
        <w:rPr>
          <w:szCs w:val="24"/>
          <w:vertAlign w:val="superscript"/>
        </w:rPr>
        <w:t>c</w:t>
      </w:r>
      <w:r w:rsidRPr="00C574FE">
        <w:rPr>
          <w:szCs w:val="24"/>
        </w:rPr>
        <w:t xml:space="preserve">SAI </w:t>
      </w:r>
      <w:r w:rsidRPr="00C574FE">
        <w:rPr>
          <w:i/>
          <w:szCs w:val="24"/>
        </w:rPr>
        <w:t>n</w:t>
      </w:r>
      <w:r w:rsidRPr="00C574FE">
        <w:rPr>
          <w:szCs w:val="24"/>
        </w:rPr>
        <w:t xml:space="preserve">=8;  Free Recall Plus Confidence </w:t>
      </w:r>
      <w:r w:rsidRPr="00C574FE">
        <w:rPr>
          <w:i/>
          <w:szCs w:val="24"/>
        </w:rPr>
        <w:t>n</w:t>
      </w:r>
      <w:r w:rsidRPr="00C574FE">
        <w:rPr>
          <w:szCs w:val="24"/>
        </w:rPr>
        <w:t xml:space="preserve">=5;  Free Recall </w:t>
      </w:r>
      <w:r w:rsidRPr="00C574FE">
        <w:rPr>
          <w:i/>
          <w:szCs w:val="24"/>
        </w:rPr>
        <w:t>n</w:t>
      </w:r>
      <w:r w:rsidRPr="00C574FE">
        <w:rPr>
          <w:szCs w:val="24"/>
        </w:rPr>
        <w:t>=12.</w:t>
      </w:r>
      <w:r w:rsidR="00E13584" w:rsidRPr="00C574FE">
        <w:br w:type="page"/>
      </w:r>
    </w:p>
    <w:p w14:paraId="10CD71DD" w14:textId="2D7C64B7" w:rsidR="004E6794" w:rsidRPr="00C574FE" w:rsidRDefault="004E6794" w:rsidP="004E6794">
      <w:pPr>
        <w:pStyle w:val="BodyText"/>
        <w:ind w:firstLine="0"/>
      </w:pPr>
      <w:r w:rsidRPr="00C574FE">
        <w:t xml:space="preserve">Table </w:t>
      </w:r>
      <w:r w:rsidR="005E1FD5" w:rsidRPr="00C574FE">
        <w:t>3</w:t>
      </w:r>
    </w:p>
    <w:p w14:paraId="3495E1AF" w14:textId="30C3183C" w:rsidR="004E6794" w:rsidRPr="00C574FE" w:rsidRDefault="004E6794" w:rsidP="004E6794">
      <w:pPr>
        <w:rPr>
          <w:rFonts w:eastAsia="Batang"/>
          <w:bCs/>
        </w:rPr>
      </w:pPr>
      <w:r w:rsidRPr="00C574FE">
        <w:rPr>
          <w:rFonts w:eastAsia="Batang"/>
          <w:bCs/>
          <w:i/>
        </w:rPr>
        <w:t xml:space="preserve">Mean (SD) </w:t>
      </w:r>
      <w:r w:rsidRPr="00C574FE">
        <w:rPr>
          <w:i/>
        </w:rPr>
        <w:t>and 95% Confidence Intervals</w:t>
      </w:r>
      <w:r w:rsidRPr="00C574FE">
        <w:rPr>
          <w:rFonts w:eastAsia="Batang"/>
          <w:bCs/>
          <w:i/>
        </w:rPr>
        <w:t xml:space="preserve"> for proportion correct fine-grain items reported for the various immediate interview conditions in Experiments 1-</w:t>
      </w:r>
      <w:r w:rsidR="006B718B" w:rsidRPr="00C574FE">
        <w:rPr>
          <w:rFonts w:eastAsia="Batang"/>
          <w:bCs/>
          <w:i/>
        </w:rPr>
        <w:t>3</w:t>
      </w:r>
      <w:r w:rsidRPr="00C574FE">
        <w:rPr>
          <w:rFonts w:eastAsia="Batang"/>
          <w:bCs/>
          <w:i/>
        </w:rPr>
        <w:t>.</w:t>
      </w:r>
    </w:p>
    <w:tbl>
      <w:tblPr>
        <w:tblStyle w:val="TableGrid"/>
        <w:tblW w:w="9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418"/>
        <w:gridCol w:w="1417"/>
        <w:gridCol w:w="1276"/>
        <w:gridCol w:w="1429"/>
        <w:gridCol w:w="1342"/>
      </w:tblGrid>
      <w:tr w:rsidR="004E6794" w:rsidRPr="00C574FE" w14:paraId="327C2551" w14:textId="77777777" w:rsidTr="000F30BA">
        <w:tc>
          <w:tcPr>
            <w:tcW w:w="2518" w:type="dxa"/>
            <w:tcBorders>
              <w:top w:val="single" w:sz="4" w:space="0" w:color="auto"/>
            </w:tcBorders>
          </w:tcPr>
          <w:p w14:paraId="74FFCB77" w14:textId="77777777" w:rsidR="004E6794" w:rsidRPr="00C574FE" w:rsidRDefault="004E6794" w:rsidP="000F30BA">
            <w:pPr>
              <w:spacing w:line="360" w:lineRule="auto"/>
              <w:rPr>
                <w:rFonts w:eastAsia="Batang"/>
                <w:bCs/>
              </w:rPr>
            </w:pPr>
          </w:p>
        </w:tc>
        <w:tc>
          <w:tcPr>
            <w:tcW w:w="6882" w:type="dxa"/>
            <w:gridSpan w:val="5"/>
            <w:tcBorders>
              <w:top w:val="single" w:sz="4" w:space="0" w:color="auto"/>
              <w:bottom w:val="single" w:sz="4" w:space="0" w:color="auto"/>
            </w:tcBorders>
          </w:tcPr>
          <w:p w14:paraId="142D8CB8" w14:textId="77777777" w:rsidR="004E6794" w:rsidRPr="00C574FE" w:rsidRDefault="004E6794" w:rsidP="000F30BA">
            <w:pPr>
              <w:spacing w:line="360" w:lineRule="auto"/>
              <w:jc w:val="center"/>
              <w:rPr>
                <w:rFonts w:eastAsia="Batang"/>
                <w:bCs/>
              </w:rPr>
            </w:pPr>
            <w:r w:rsidRPr="00C574FE">
              <w:rPr>
                <w:rFonts w:eastAsia="Batang"/>
                <w:bCs/>
              </w:rPr>
              <w:t>Interview Format</w:t>
            </w:r>
          </w:p>
        </w:tc>
      </w:tr>
      <w:tr w:rsidR="004E6794" w:rsidRPr="00C574FE" w14:paraId="07AA2C01" w14:textId="77777777" w:rsidTr="000F30BA">
        <w:tc>
          <w:tcPr>
            <w:tcW w:w="2518" w:type="dxa"/>
            <w:tcBorders>
              <w:bottom w:val="single" w:sz="4" w:space="0" w:color="auto"/>
            </w:tcBorders>
          </w:tcPr>
          <w:p w14:paraId="5FB07049" w14:textId="77777777" w:rsidR="004E6794" w:rsidRPr="00C574FE" w:rsidRDefault="004E6794" w:rsidP="000F30BA">
            <w:pPr>
              <w:spacing w:line="360" w:lineRule="auto"/>
              <w:ind w:left="142" w:hanging="142"/>
              <w:rPr>
                <w:rFonts w:eastAsia="Batang"/>
                <w:bCs/>
              </w:rPr>
            </w:pPr>
            <w:r w:rsidRPr="00C574FE">
              <w:rPr>
                <w:rFonts w:eastAsia="Batang"/>
                <w:bCs/>
              </w:rPr>
              <w:t>Proportion Correct Fine-Grain Items</w:t>
            </w:r>
          </w:p>
        </w:tc>
        <w:tc>
          <w:tcPr>
            <w:tcW w:w="1418" w:type="dxa"/>
            <w:tcBorders>
              <w:top w:val="single" w:sz="4" w:space="0" w:color="auto"/>
              <w:bottom w:val="single" w:sz="4" w:space="0" w:color="auto"/>
            </w:tcBorders>
          </w:tcPr>
          <w:p w14:paraId="0ED094E3" w14:textId="77777777" w:rsidR="004E6794" w:rsidRPr="00C574FE" w:rsidRDefault="004E6794" w:rsidP="000F30BA">
            <w:pPr>
              <w:spacing w:line="360" w:lineRule="auto"/>
              <w:jc w:val="center"/>
              <w:rPr>
                <w:rFonts w:eastAsia="Batang"/>
                <w:bCs/>
              </w:rPr>
            </w:pPr>
            <w:r w:rsidRPr="00C574FE">
              <w:rPr>
                <w:rFonts w:eastAsia="Batang"/>
                <w:bCs/>
              </w:rPr>
              <w:t>Forced Report:</w:t>
            </w:r>
          </w:p>
          <w:p w14:paraId="72EC7F4F" w14:textId="77777777" w:rsidR="004E6794" w:rsidRPr="00C574FE" w:rsidRDefault="004E6794" w:rsidP="000F30BA">
            <w:pPr>
              <w:spacing w:line="360" w:lineRule="auto"/>
              <w:jc w:val="center"/>
              <w:rPr>
                <w:rFonts w:eastAsia="Batang"/>
                <w:bCs/>
              </w:rPr>
            </w:pPr>
            <w:r w:rsidRPr="00C574FE">
              <w:rPr>
                <w:rFonts w:eastAsia="Batang"/>
                <w:bCs/>
              </w:rPr>
              <w:t>Initial</w:t>
            </w:r>
          </w:p>
        </w:tc>
        <w:tc>
          <w:tcPr>
            <w:tcW w:w="1417" w:type="dxa"/>
            <w:tcBorders>
              <w:top w:val="single" w:sz="4" w:space="0" w:color="auto"/>
              <w:bottom w:val="single" w:sz="4" w:space="0" w:color="auto"/>
            </w:tcBorders>
          </w:tcPr>
          <w:p w14:paraId="75DCF866" w14:textId="77777777" w:rsidR="004E6794" w:rsidRPr="00C574FE" w:rsidRDefault="004E6794" w:rsidP="000F30BA">
            <w:pPr>
              <w:pStyle w:val="BodyText"/>
              <w:spacing w:line="360" w:lineRule="auto"/>
              <w:ind w:firstLine="0"/>
              <w:jc w:val="center"/>
            </w:pPr>
            <w:r w:rsidRPr="00C574FE">
              <w:t>Forced Report: Preferred</w:t>
            </w:r>
          </w:p>
        </w:tc>
        <w:tc>
          <w:tcPr>
            <w:tcW w:w="1276" w:type="dxa"/>
            <w:tcBorders>
              <w:top w:val="single" w:sz="4" w:space="0" w:color="auto"/>
              <w:bottom w:val="single" w:sz="4" w:space="0" w:color="auto"/>
            </w:tcBorders>
          </w:tcPr>
          <w:p w14:paraId="39326741" w14:textId="7D64DDE9" w:rsidR="004E6794" w:rsidRPr="00C574FE" w:rsidRDefault="0070591A" w:rsidP="000F30BA">
            <w:pPr>
              <w:pStyle w:val="BodyText"/>
              <w:spacing w:line="360" w:lineRule="auto"/>
              <w:ind w:left="-108" w:firstLine="0"/>
              <w:jc w:val="center"/>
            </w:pPr>
            <w:r w:rsidRPr="00C574FE">
              <w:t xml:space="preserve">Adapted </w:t>
            </w:r>
            <w:r w:rsidR="004E6794" w:rsidRPr="00C574FE">
              <w:t>SAI</w:t>
            </w:r>
            <w:r w:rsidR="00ED7BA6" w:rsidRPr="00C574FE">
              <w:rPr>
                <w:vertAlign w:val="superscript"/>
              </w:rPr>
              <w:t>©</w:t>
            </w:r>
          </w:p>
        </w:tc>
        <w:tc>
          <w:tcPr>
            <w:tcW w:w="1429" w:type="dxa"/>
            <w:tcBorders>
              <w:top w:val="single" w:sz="4" w:space="0" w:color="auto"/>
              <w:bottom w:val="single" w:sz="4" w:space="0" w:color="auto"/>
            </w:tcBorders>
          </w:tcPr>
          <w:p w14:paraId="5DAFE860" w14:textId="3C353A86" w:rsidR="004E6794" w:rsidRPr="00C574FE" w:rsidRDefault="004E6794" w:rsidP="000F30BA">
            <w:pPr>
              <w:pStyle w:val="BodyText"/>
              <w:spacing w:line="360" w:lineRule="auto"/>
              <w:ind w:firstLine="46"/>
              <w:jc w:val="center"/>
            </w:pPr>
            <w:r w:rsidRPr="00C574FE">
              <w:t xml:space="preserve">Free Recall </w:t>
            </w:r>
            <w:r w:rsidR="00922FE3" w:rsidRPr="00C574FE">
              <w:t>Plus Confidence</w:t>
            </w:r>
          </w:p>
        </w:tc>
        <w:tc>
          <w:tcPr>
            <w:tcW w:w="1342" w:type="dxa"/>
            <w:tcBorders>
              <w:top w:val="single" w:sz="4" w:space="0" w:color="auto"/>
              <w:bottom w:val="single" w:sz="4" w:space="0" w:color="auto"/>
            </w:tcBorders>
          </w:tcPr>
          <w:p w14:paraId="40729AD1" w14:textId="77777777" w:rsidR="004E6794" w:rsidRPr="00C574FE" w:rsidRDefault="004E6794" w:rsidP="000F30BA">
            <w:pPr>
              <w:pStyle w:val="BodyText"/>
              <w:spacing w:line="360" w:lineRule="auto"/>
              <w:ind w:firstLine="0"/>
              <w:jc w:val="center"/>
            </w:pPr>
            <w:r w:rsidRPr="00C574FE">
              <w:t>Free Recall</w:t>
            </w:r>
          </w:p>
        </w:tc>
      </w:tr>
      <w:tr w:rsidR="004E6794" w:rsidRPr="00C574FE" w14:paraId="05B5D588" w14:textId="77777777" w:rsidTr="000F30BA">
        <w:tc>
          <w:tcPr>
            <w:tcW w:w="2518" w:type="dxa"/>
          </w:tcPr>
          <w:p w14:paraId="2666E14E" w14:textId="4D145807" w:rsidR="006B718B" w:rsidRPr="00C574FE" w:rsidRDefault="004E6794" w:rsidP="006B718B">
            <w:pPr>
              <w:spacing w:line="360" w:lineRule="auto"/>
              <w:rPr>
                <w:rFonts w:eastAsia="Batang"/>
                <w:bCs/>
              </w:rPr>
            </w:pPr>
            <w:r w:rsidRPr="00C574FE">
              <w:rPr>
                <w:rFonts w:eastAsia="Batang"/>
                <w:bCs/>
              </w:rPr>
              <w:t>Experiment 1</w:t>
            </w:r>
          </w:p>
          <w:p w14:paraId="53DE36FD" w14:textId="27F2469D" w:rsidR="004E6794" w:rsidRPr="00C574FE" w:rsidRDefault="004E6794" w:rsidP="000F30BA">
            <w:pPr>
              <w:spacing w:line="360" w:lineRule="auto"/>
              <w:rPr>
                <w:rFonts w:eastAsia="Batang"/>
                <w:bCs/>
              </w:rPr>
            </w:pPr>
          </w:p>
        </w:tc>
        <w:tc>
          <w:tcPr>
            <w:tcW w:w="1418" w:type="dxa"/>
          </w:tcPr>
          <w:p w14:paraId="0EF076F5" w14:textId="77777777" w:rsidR="004E6794" w:rsidRPr="00C574FE" w:rsidRDefault="004E6794" w:rsidP="000F30BA">
            <w:pPr>
              <w:spacing w:line="360" w:lineRule="auto"/>
              <w:jc w:val="center"/>
            </w:pPr>
            <w:r w:rsidRPr="00C574FE">
              <w:t>0.46</w:t>
            </w:r>
          </w:p>
          <w:p w14:paraId="3A104FD3" w14:textId="77777777" w:rsidR="004E6794" w:rsidRPr="00C574FE" w:rsidRDefault="004E6794" w:rsidP="000F30BA">
            <w:pPr>
              <w:spacing w:line="360" w:lineRule="auto"/>
              <w:jc w:val="center"/>
            </w:pPr>
            <w:r w:rsidRPr="00C574FE">
              <w:t>(0.08)</w:t>
            </w:r>
          </w:p>
          <w:p w14:paraId="1ED31BAF" w14:textId="77777777" w:rsidR="004E6794" w:rsidRPr="00C574FE" w:rsidRDefault="004E6794" w:rsidP="000F30BA">
            <w:pPr>
              <w:spacing w:line="360" w:lineRule="auto"/>
              <w:jc w:val="center"/>
            </w:pPr>
            <w:r w:rsidRPr="00C574FE">
              <w:t>0.43-0.50</w:t>
            </w:r>
          </w:p>
        </w:tc>
        <w:tc>
          <w:tcPr>
            <w:tcW w:w="1417" w:type="dxa"/>
          </w:tcPr>
          <w:p w14:paraId="23D9CDBC" w14:textId="77777777" w:rsidR="004E6794" w:rsidRPr="00C574FE" w:rsidRDefault="004E6794" w:rsidP="000F30BA">
            <w:pPr>
              <w:spacing w:line="360" w:lineRule="auto"/>
              <w:jc w:val="center"/>
            </w:pPr>
            <w:r w:rsidRPr="00C574FE">
              <w:t>0.59</w:t>
            </w:r>
          </w:p>
          <w:p w14:paraId="75B671DF" w14:textId="77777777" w:rsidR="004E6794" w:rsidRPr="00C574FE" w:rsidRDefault="004E6794" w:rsidP="000F30BA">
            <w:pPr>
              <w:spacing w:line="360" w:lineRule="auto"/>
              <w:jc w:val="center"/>
            </w:pPr>
            <w:r w:rsidRPr="00C574FE">
              <w:t>(0.19)</w:t>
            </w:r>
          </w:p>
          <w:p w14:paraId="733B6A46" w14:textId="77777777" w:rsidR="004E6794" w:rsidRPr="00C574FE" w:rsidRDefault="004E6794" w:rsidP="000F30BA">
            <w:pPr>
              <w:spacing w:line="360" w:lineRule="auto"/>
              <w:jc w:val="center"/>
            </w:pPr>
            <w:r w:rsidRPr="00C574FE">
              <w:t>0.51-0.67</w:t>
            </w:r>
          </w:p>
        </w:tc>
        <w:tc>
          <w:tcPr>
            <w:tcW w:w="1276" w:type="dxa"/>
          </w:tcPr>
          <w:p w14:paraId="4968FFC8" w14:textId="77777777" w:rsidR="004E6794" w:rsidRPr="00C574FE" w:rsidRDefault="004E6794" w:rsidP="000F30BA">
            <w:pPr>
              <w:spacing w:line="360" w:lineRule="auto"/>
              <w:jc w:val="center"/>
            </w:pPr>
            <w:r w:rsidRPr="00C574FE">
              <w:t>0.73</w:t>
            </w:r>
          </w:p>
          <w:p w14:paraId="5C297B57" w14:textId="77777777" w:rsidR="004E6794" w:rsidRPr="00C574FE" w:rsidRDefault="004E6794" w:rsidP="000F30BA">
            <w:pPr>
              <w:spacing w:line="360" w:lineRule="auto"/>
              <w:jc w:val="center"/>
            </w:pPr>
            <w:r w:rsidRPr="00C574FE">
              <w:t>(0.13)</w:t>
            </w:r>
          </w:p>
          <w:p w14:paraId="3E6D90B9" w14:textId="77777777" w:rsidR="004E6794" w:rsidRPr="00C574FE" w:rsidRDefault="004E6794" w:rsidP="000F30BA">
            <w:pPr>
              <w:spacing w:line="360" w:lineRule="auto"/>
              <w:jc w:val="center"/>
            </w:pPr>
            <w:r w:rsidRPr="00C574FE">
              <w:t>0.68-0.79</w:t>
            </w:r>
          </w:p>
        </w:tc>
        <w:tc>
          <w:tcPr>
            <w:tcW w:w="1429" w:type="dxa"/>
          </w:tcPr>
          <w:p w14:paraId="0C55D410" w14:textId="77777777" w:rsidR="004E6794" w:rsidRPr="00C574FE" w:rsidRDefault="004E6794" w:rsidP="000F30BA">
            <w:pPr>
              <w:spacing w:line="360" w:lineRule="auto"/>
              <w:jc w:val="center"/>
            </w:pPr>
            <w:r w:rsidRPr="00C574FE">
              <w:t>0.78</w:t>
            </w:r>
          </w:p>
          <w:p w14:paraId="53B52EE5" w14:textId="77777777" w:rsidR="004E6794" w:rsidRPr="00C574FE" w:rsidRDefault="004E6794" w:rsidP="000F30BA">
            <w:pPr>
              <w:spacing w:line="360" w:lineRule="auto"/>
              <w:jc w:val="center"/>
            </w:pPr>
            <w:r w:rsidRPr="00C574FE">
              <w:t>(0.17)</w:t>
            </w:r>
          </w:p>
          <w:p w14:paraId="68D4F329" w14:textId="77777777" w:rsidR="004E6794" w:rsidRPr="00C574FE" w:rsidRDefault="004E6794" w:rsidP="000F30BA">
            <w:pPr>
              <w:spacing w:line="360" w:lineRule="auto"/>
              <w:jc w:val="center"/>
            </w:pPr>
            <w:r w:rsidRPr="00C574FE">
              <w:t>0.71-0.85</w:t>
            </w:r>
          </w:p>
        </w:tc>
        <w:tc>
          <w:tcPr>
            <w:tcW w:w="1342" w:type="dxa"/>
          </w:tcPr>
          <w:p w14:paraId="4C816248" w14:textId="77777777" w:rsidR="004E6794" w:rsidRPr="00C574FE" w:rsidRDefault="004E6794" w:rsidP="000F30BA">
            <w:pPr>
              <w:spacing w:line="360" w:lineRule="auto"/>
              <w:jc w:val="center"/>
            </w:pPr>
            <w:r w:rsidRPr="00C574FE">
              <w:t>0.71</w:t>
            </w:r>
          </w:p>
          <w:p w14:paraId="1AA43DB3" w14:textId="77777777" w:rsidR="004E6794" w:rsidRPr="00C574FE" w:rsidRDefault="004E6794" w:rsidP="000F30BA">
            <w:pPr>
              <w:spacing w:line="360" w:lineRule="auto"/>
              <w:jc w:val="center"/>
            </w:pPr>
            <w:r w:rsidRPr="00C574FE">
              <w:t>(0.22)</w:t>
            </w:r>
          </w:p>
          <w:p w14:paraId="29DFB1D4" w14:textId="77777777" w:rsidR="004E6794" w:rsidRPr="00C574FE" w:rsidRDefault="004E6794" w:rsidP="000F30BA">
            <w:pPr>
              <w:spacing w:line="360" w:lineRule="auto"/>
              <w:jc w:val="center"/>
            </w:pPr>
            <w:r w:rsidRPr="00C574FE">
              <w:t>0.62-0.80</w:t>
            </w:r>
          </w:p>
        </w:tc>
      </w:tr>
      <w:tr w:rsidR="004E6794" w:rsidRPr="00C574FE" w14:paraId="56EA9DF7" w14:textId="77777777" w:rsidTr="006B718B">
        <w:tc>
          <w:tcPr>
            <w:tcW w:w="2518" w:type="dxa"/>
          </w:tcPr>
          <w:p w14:paraId="3A75EB66" w14:textId="1C979A35" w:rsidR="006B718B" w:rsidRPr="00C574FE" w:rsidRDefault="004E6794" w:rsidP="006B718B">
            <w:pPr>
              <w:spacing w:line="360" w:lineRule="auto"/>
              <w:ind w:left="284" w:hanging="284"/>
              <w:rPr>
                <w:rFonts w:eastAsia="Batang"/>
                <w:bCs/>
              </w:rPr>
            </w:pPr>
            <w:r w:rsidRPr="00C574FE">
              <w:rPr>
                <w:rFonts w:eastAsia="Batang"/>
                <w:bCs/>
              </w:rPr>
              <w:t xml:space="preserve">Experiment </w:t>
            </w:r>
            <w:r w:rsidR="006B718B" w:rsidRPr="00C574FE">
              <w:rPr>
                <w:rFonts w:eastAsia="Batang"/>
                <w:bCs/>
              </w:rPr>
              <w:t>2</w:t>
            </w:r>
          </w:p>
          <w:p w14:paraId="58D4765B" w14:textId="51842EB6" w:rsidR="004E6794" w:rsidRPr="00C574FE" w:rsidRDefault="004E6794" w:rsidP="000F30BA">
            <w:pPr>
              <w:spacing w:line="360" w:lineRule="auto"/>
              <w:ind w:left="284" w:hanging="284"/>
              <w:rPr>
                <w:rFonts w:eastAsia="Batang"/>
                <w:bCs/>
              </w:rPr>
            </w:pPr>
          </w:p>
        </w:tc>
        <w:tc>
          <w:tcPr>
            <w:tcW w:w="1418" w:type="dxa"/>
          </w:tcPr>
          <w:p w14:paraId="69CD53C7" w14:textId="77777777" w:rsidR="004E6794" w:rsidRPr="00C574FE" w:rsidRDefault="004E6794" w:rsidP="000F30BA">
            <w:pPr>
              <w:spacing w:line="360" w:lineRule="auto"/>
              <w:jc w:val="center"/>
            </w:pPr>
            <w:r w:rsidRPr="00C574FE">
              <w:t>0.54</w:t>
            </w:r>
          </w:p>
          <w:p w14:paraId="0513E784" w14:textId="77777777" w:rsidR="004E6794" w:rsidRPr="00C574FE" w:rsidRDefault="004E6794" w:rsidP="000F30BA">
            <w:pPr>
              <w:spacing w:line="360" w:lineRule="auto"/>
              <w:jc w:val="center"/>
            </w:pPr>
            <w:r w:rsidRPr="00C574FE">
              <w:t>(0.10)</w:t>
            </w:r>
          </w:p>
          <w:p w14:paraId="67A56DD8" w14:textId="77777777" w:rsidR="004E6794" w:rsidRPr="00C574FE" w:rsidRDefault="004E6794" w:rsidP="000F30BA">
            <w:pPr>
              <w:spacing w:line="360" w:lineRule="auto"/>
              <w:jc w:val="center"/>
            </w:pPr>
            <w:r w:rsidRPr="00C574FE">
              <w:t>0.49-0.59</w:t>
            </w:r>
          </w:p>
        </w:tc>
        <w:tc>
          <w:tcPr>
            <w:tcW w:w="1417" w:type="dxa"/>
          </w:tcPr>
          <w:p w14:paraId="5073EED4" w14:textId="77777777" w:rsidR="004E6794" w:rsidRPr="00C574FE" w:rsidRDefault="004E6794" w:rsidP="000F30BA">
            <w:pPr>
              <w:spacing w:line="360" w:lineRule="auto"/>
              <w:jc w:val="center"/>
            </w:pPr>
            <w:r w:rsidRPr="00C574FE">
              <w:t>0.70</w:t>
            </w:r>
          </w:p>
          <w:p w14:paraId="0A9E226C" w14:textId="77777777" w:rsidR="004E6794" w:rsidRPr="00C574FE" w:rsidRDefault="004E6794" w:rsidP="000F30BA">
            <w:pPr>
              <w:spacing w:line="360" w:lineRule="auto"/>
              <w:jc w:val="center"/>
            </w:pPr>
            <w:r w:rsidRPr="00C574FE">
              <w:t>(0.17)</w:t>
            </w:r>
          </w:p>
          <w:p w14:paraId="6F9B2FD2" w14:textId="77777777" w:rsidR="004E6794" w:rsidRPr="00C574FE" w:rsidRDefault="004E6794" w:rsidP="000F30BA">
            <w:pPr>
              <w:spacing w:line="360" w:lineRule="auto"/>
              <w:jc w:val="center"/>
            </w:pPr>
            <w:r w:rsidRPr="00C574FE">
              <w:t>0.62-0.78</w:t>
            </w:r>
          </w:p>
        </w:tc>
        <w:tc>
          <w:tcPr>
            <w:tcW w:w="1276" w:type="dxa"/>
          </w:tcPr>
          <w:p w14:paraId="2F867A09" w14:textId="77777777" w:rsidR="004E6794" w:rsidRPr="00C574FE" w:rsidRDefault="004E6794" w:rsidP="000F30BA">
            <w:pPr>
              <w:spacing w:line="360" w:lineRule="auto"/>
              <w:jc w:val="center"/>
            </w:pPr>
            <w:r w:rsidRPr="00C574FE">
              <w:t>0.69</w:t>
            </w:r>
          </w:p>
          <w:p w14:paraId="550470BA" w14:textId="77777777" w:rsidR="004E6794" w:rsidRPr="00C574FE" w:rsidRDefault="004E6794" w:rsidP="000F30BA">
            <w:pPr>
              <w:spacing w:line="360" w:lineRule="auto"/>
              <w:jc w:val="center"/>
            </w:pPr>
            <w:r w:rsidRPr="00C574FE">
              <w:t>(0.25)</w:t>
            </w:r>
          </w:p>
          <w:p w14:paraId="26657806" w14:textId="77777777" w:rsidR="004E6794" w:rsidRPr="00C574FE" w:rsidRDefault="004E6794" w:rsidP="000F30BA">
            <w:pPr>
              <w:spacing w:line="360" w:lineRule="auto"/>
              <w:jc w:val="center"/>
            </w:pPr>
            <w:r w:rsidRPr="00C574FE">
              <w:t>0.58-0.81</w:t>
            </w:r>
          </w:p>
        </w:tc>
        <w:tc>
          <w:tcPr>
            <w:tcW w:w="1429" w:type="dxa"/>
          </w:tcPr>
          <w:p w14:paraId="1DBA399A" w14:textId="77777777" w:rsidR="004E6794" w:rsidRPr="00C574FE" w:rsidRDefault="004E6794" w:rsidP="000F30BA">
            <w:pPr>
              <w:spacing w:line="360" w:lineRule="auto"/>
              <w:jc w:val="center"/>
            </w:pPr>
            <w:r w:rsidRPr="00C574FE">
              <w:t>0.79</w:t>
            </w:r>
          </w:p>
          <w:p w14:paraId="0C407DFF" w14:textId="77777777" w:rsidR="004E6794" w:rsidRPr="00C574FE" w:rsidRDefault="004E6794" w:rsidP="000F30BA">
            <w:pPr>
              <w:spacing w:line="360" w:lineRule="auto"/>
              <w:jc w:val="center"/>
            </w:pPr>
            <w:r w:rsidRPr="00C574FE">
              <w:t>(0.24)</w:t>
            </w:r>
          </w:p>
          <w:p w14:paraId="212E6A31" w14:textId="77777777" w:rsidR="004E6794" w:rsidRPr="00C574FE" w:rsidRDefault="004E6794" w:rsidP="000F30BA">
            <w:pPr>
              <w:spacing w:line="360" w:lineRule="auto"/>
              <w:jc w:val="center"/>
            </w:pPr>
            <w:r w:rsidRPr="00C574FE">
              <w:t>0.67-0.90</w:t>
            </w:r>
          </w:p>
        </w:tc>
        <w:tc>
          <w:tcPr>
            <w:tcW w:w="1342" w:type="dxa"/>
          </w:tcPr>
          <w:p w14:paraId="0CACA961" w14:textId="77777777" w:rsidR="004E6794" w:rsidRPr="00C574FE" w:rsidRDefault="004E6794" w:rsidP="000F30BA">
            <w:pPr>
              <w:widowControl w:val="0"/>
              <w:spacing w:line="360" w:lineRule="auto"/>
              <w:jc w:val="center"/>
            </w:pPr>
            <w:r w:rsidRPr="00C574FE">
              <w:t>-</w:t>
            </w:r>
          </w:p>
        </w:tc>
      </w:tr>
      <w:tr w:rsidR="00082AC9" w:rsidRPr="00C574FE" w14:paraId="5762F968" w14:textId="77777777" w:rsidTr="006B718B">
        <w:tc>
          <w:tcPr>
            <w:tcW w:w="2518" w:type="dxa"/>
            <w:tcBorders>
              <w:bottom w:val="single" w:sz="4" w:space="0" w:color="auto"/>
            </w:tcBorders>
          </w:tcPr>
          <w:p w14:paraId="4FD6483A" w14:textId="4359BBF7" w:rsidR="006B718B" w:rsidRPr="00C574FE" w:rsidRDefault="00082AC9" w:rsidP="006B718B">
            <w:pPr>
              <w:spacing w:line="360" w:lineRule="auto"/>
              <w:ind w:left="284" w:hanging="284"/>
              <w:rPr>
                <w:rFonts w:eastAsia="Batang"/>
                <w:bCs/>
              </w:rPr>
            </w:pPr>
            <w:r w:rsidRPr="00C574FE">
              <w:rPr>
                <w:rFonts w:eastAsia="Batang"/>
                <w:bCs/>
              </w:rPr>
              <w:t xml:space="preserve">Experiment </w:t>
            </w:r>
            <w:r w:rsidR="006B718B" w:rsidRPr="00C574FE">
              <w:rPr>
                <w:rFonts w:eastAsia="Batang"/>
                <w:bCs/>
              </w:rPr>
              <w:t>3</w:t>
            </w:r>
          </w:p>
          <w:p w14:paraId="6A9DBBF9" w14:textId="47AE3E04" w:rsidR="00082AC9" w:rsidRPr="00C574FE" w:rsidRDefault="00082AC9" w:rsidP="00BD2066">
            <w:pPr>
              <w:spacing w:line="360" w:lineRule="auto"/>
              <w:ind w:left="284" w:hanging="284"/>
              <w:rPr>
                <w:rFonts w:eastAsia="Batang"/>
                <w:bCs/>
              </w:rPr>
            </w:pPr>
          </w:p>
        </w:tc>
        <w:tc>
          <w:tcPr>
            <w:tcW w:w="1418" w:type="dxa"/>
            <w:tcBorders>
              <w:bottom w:val="single" w:sz="4" w:space="0" w:color="auto"/>
            </w:tcBorders>
          </w:tcPr>
          <w:p w14:paraId="404136AB" w14:textId="77777777" w:rsidR="00082AC9" w:rsidRPr="00C574FE" w:rsidRDefault="00082AC9" w:rsidP="00FC25B7">
            <w:pPr>
              <w:spacing w:line="360" w:lineRule="auto"/>
              <w:jc w:val="center"/>
            </w:pPr>
            <w:r w:rsidRPr="00C574FE">
              <w:t>0.41</w:t>
            </w:r>
          </w:p>
          <w:p w14:paraId="20DB1796" w14:textId="77777777" w:rsidR="00082AC9" w:rsidRPr="00C574FE" w:rsidRDefault="00082AC9" w:rsidP="00FC25B7">
            <w:pPr>
              <w:spacing w:line="360" w:lineRule="auto"/>
              <w:jc w:val="center"/>
            </w:pPr>
            <w:r w:rsidRPr="00C574FE">
              <w:t>(0.08)</w:t>
            </w:r>
          </w:p>
          <w:p w14:paraId="1024AAB0" w14:textId="77777777" w:rsidR="00082AC9" w:rsidRPr="00C574FE" w:rsidRDefault="00082AC9" w:rsidP="00FC25B7">
            <w:pPr>
              <w:spacing w:line="360" w:lineRule="auto"/>
              <w:jc w:val="center"/>
            </w:pPr>
            <w:r w:rsidRPr="00C574FE">
              <w:t>0.37-0.46</w:t>
            </w:r>
          </w:p>
        </w:tc>
        <w:tc>
          <w:tcPr>
            <w:tcW w:w="1417" w:type="dxa"/>
            <w:tcBorders>
              <w:bottom w:val="single" w:sz="4" w:space="0" w:color="auto"/>
            </w:tcBorders>
          </w:tcPr>
          <w:p w14:paraId="69B4E991" w14:textId="77777777" w:rsidR="00082AC9" w:rsidRPr="00C574FE" w:rsidRDefault="00082AC9" w:rsidP="00FC25B7">
            <w:pPr>
              <w:spacing w:line="360" w:lineRule="auto"/>
              <w:jc w:val="center"/>
            </w:pPr>
            <w:r w:rsidRPr="00C574FE">
              <w:t>0.57</w:t>
            </w:r>
          </w:p>
          <w:p w14:paraId="5C715264" w14:textId="77777777" w:rsidR="00082AC9" w:rsidRPr="00C574FE" w:rsidRDefault="00082AC9" w:rsidP="00FC25B7">
            <w:pPr>
              <w:spacing w:line="360" w:lineRule="auto"/>
              <w:jc w:val="center"/>
            </w:pPr>
            <w:r w:rsidRPr="00C574FE">
              <w:t>(0.13)</w:t>
            </w:r>
          </w:p>
          <w:p w14:paraId="0272A3B1" w14:textId="77777777" w:rsidR="00082AC9" w:rsidRPr="00C574FE" w:rsidRDefault="00082AC9" w:rsidP="00FC25B7">
            <w:pPr>
              <w:spacing w:line="360" w:lineRule="auto"/>
              <w:jc w:val="center"/>
            </w:pPr>
            <w:r w:rsidRPr="00C574FE">
              <w:t>0.50-0.64</w:t>
            </w:r>
          </w:p>
        </w:tc>
        <w:tc>
          <w:tcPr>
            <w:tcW w:w="1276" w:type="dxa"/>
            <w:tcBorders>
              <w:bottom w:val="single" w:sz="4" w:space="0" w:color="auto"/>
            </w:tcBorders>
          </w:tcPr>
          <w:p w14:paraId="02FE7D38" w14:textId="77777777" w:rsidR="00082AC9" w:rsidRPr="00C574FE" w:rsidRDefault="00082AC9" w:rsidP="00FC25B7">
            <w:pPr>
              <w:spacing w:line="360" w:lineRule="auto"/>
              <w:jc w:val="center"/>
            </w:pPr>
            <w:r w:rsidRPr="00C574FE">
              <w:t>0.54</w:t>
            </w:r>
          </w:p>
          <w:p w14:paraId="78167E7F" w14:textId="77777777" w:rsidR="00082AC9" w:rsidRPr="00C574FE" w:rsidRDefault="00082AC9" w:rsidP="00FC25B7">
            <w:pPr>
              <w:spacing w:line="360" w:lineRule="auto"/>
              <w:jc w:val="center"/>
            </w:pPr>
            <w:r w:rsidRPr="00C574FE">
              <w:t>(0.14)</w:t>
            </w:r>
          </w:p>
          <w:p w14:paraId="11FFC4F9" w14:textId="77777777" w:rsidR="00082AC9" w:rsidRPr="00C574FE" w:rsidRDefault="00082AC9" w:rsidP="00FC25B7">
            <w:pPr>
              <w:spacing w:line="360" w:lineRule="auto"/>
              <w:jc w:val="center"/>
            </w:pPr>
            <w:r w:rsidRPr="00C574FE">
              <w:t>0.46-0.62</w:t>
            </w:r>
          </w:p>
        </w:tc>
        <w:tc>
          <w:tcPr>
            <w:tcW w:w="1429" w:type="dxa"/>
            <w:tcBorders>
              <w:bottom w:val="single" w:sz="4" w:space="0" w:color="auto"/>
            </w:tcBorders>
          </w:tcPr>
          <w:p w14:paraId="1C343397" w14:textId="77777777" w:rsidR="00082AC9" w:rsidRPr="00C574FE" w:rsidRDefault="00082AC9" w:rsidP="00FC25B7">
            <w:pPr>
              <w:spacing w:line="360" w:lineRule="auto"/>
              <w:jc w:val="center"/>
            </w:pPr>
            <w:r w:rsidRPr="00C574FE">
              <w:t>0.66</w:t>
            </w:r>
          </w:p>
          <w:p w14:paraId="19ABE500" w14:textId="77777777" w:rsidR="00082AC9" w:rsidRPr="00C574FE" w:rsidRDefault="00082AC9" w:rsidP="00FC25B7">
            <w:pPr>
              <w:spacing w:line="360" w:lineRule="auto"/>
              <w:jc w:val="center"/>
            </w:pPr>
            <w:r w:rsidRPr="00C574FE">
              <w:t>(0.29)</w:t>
            </w:r>
          </w:p>
          <w:p w14:paraId="727CECDD" w14:textId="77777777" w:rsidR="00082AC9" w:rsidRPr="00C574FE" w:rsidRDefault="00082AC9" w:rsidP="00FC25B7">
            <w:pPr>
              <w:spacing w:line="360" w:lineRule="auto"/>
              <w:jc w:val="center"/>
            </w:pPr>
            <w:r w:rsidRPr="00C574FE">
              <w:t>0.50-0.82</w:t>
            </w:r>
          </w:p>
        </w:tc>
        <w:tc>
          <w:tcPr>
            <w:tcW w:w="1342" w:type="dxa"/>
            <w:tcBorders>
              <w:bottom w:val="single" w:sz="4" w:space="0" w:color="auto"/>
            </w:tcBorders>
          </w:tcPr>
          <w:p w14:paraId="3D97DF82" w14:textId="77777777" w:rsidR="00082AC9" w:rsidRPr="00C574FE" w:rsidRDefault="00082AC9" w:rsidP="00FC25B7">
            <w:pPr>
              <w:spacing w:line="360" w:lineRule="auto"/>
              <w:jc w:val="center"/>
            </w:pPr>
            <w:r w:rsidRPr="00C574FE">
              <w:t>0.78</w:t>
            </w:r>
          </w:p>
          <w:p w14:paraId="06665692" w14:textId="77777777" w:rsidR="00082AC9" w:rsidRPr="00C574FE" w:rsidRDefault="00082AC9" w:rsidP="00FC25B7">
            <w:pPr>
              <w:spacing w:line="360" w:lineRule="auto"/>
              <w:jc w:val="center"/>
            </w:pPr>
            <w:r w:rsidRPr="00C574FE">
              <w:t>(0.21)</w:t>
            </w:r>
          </w:p>
          <w:p w14:paraId="1F13D870" w14:textId="77777777" w:rsidR="00082AC9" w:rsidRPr="00C574FE" w:rsidRDefault="00082AC9" w:rsidP="00FC25B7">
            <w:pPr>
              <w:spacing w:line="360" w:lineRule="auto"/>
              <w:jc w:val="center"/>
            </w:pPr>
            <w:r w:rsidRPr="00C574FE">
              <w:t>0.65-0.90</w:t>
            </w:r>
          </w:p>
        </w:tc>
      </w:tr>
    </w:tbl>
    <w:p w14:paraId="06B536CF" w14:textId="4ADECED8" w:rsidR="00FC25B7" w:rsidRPr="00C574FE" w:rsidRDefault="00FC25B7" w:rsidP="00FC25B7">
      <w:pPr>
        <w:pStyle w:val="ANPhDThesisBody"/>
        <w:spacing w:line="360" w:lineRule="auto"/>
        <w:ind w:firstLine="0"/>
        <w:rPr>
          <w:szCs w:val="24"/>
        </w:rPr>
      </w:pPr>
      <w:r w:rsidRPr="00C574FE">
        <w:rPr>
          <w:szCs w:val="24"/>
        </w:rPr>
        <w:t xml:space="preserve">Experiment </w:t>
      </w:r>
      <w:r w:rsidR="006165D7" w:rsidRPr="00C574FE">
        <w:rPr>
          <w:szCs w:val="24"/>
        </w:rPr>
        <w:t>3</w:t>
      </w:r>
      <w:r w:rsidRPr="00C574FE">
        <w:rPr>
          <w:szCs w:val="24"/>
        </w:rPr>
        <w:t xml:space="preserve">:  Free Recall </w:t>
      </w:r>
      <w:r w:rsidRPr="00C574FE">
        <w:rPr>
          <w:i/>
          <w:szCs w:val="24"/>
        </w:rPr>
        <w:t>n</w:t>
      </w:r>
      <w:r w:rsidRPr="00C574FE">
        <w:rPr>
          <w:szCs w:val="24"/>
        </w:rPr>
        <w:t xml:space="preserve"> = 14</w:t>
      </w:r>
    </w:p>
    <w:p w14:paraId="71045207" w14:textId="08FC22CA" w:rsidR="004E6794" w:rsidRPr="00C574FE" w:rsidRDefault="004E6794" w:rsidP="00FC25B7">
      <w:pPr>
        <w:pStyle w:val="ANPhDThesisBody"/>
        <w:spacing w:line="360" w:lineRule="auto"/>
        <w:ind w:firstLine="0"/>
      </w:pPr>
      <w:r w:rsidRPr="00C574FE">
        <w:br w:type="page"/>
      </w:r>
    </w:p>
    <w:p w14:paraId="4DCBC48A" w14:textId="0FCD02ED" w:rsidR="009E4F22" w:rsidRPr="00C574FE" w:rsidRDefault="009E4F22" w:rsidP="009E4F22">
      <w:pPr>
        <w:pStyle w:val="BodyText"/>
        <w:ind w:firstLine="0"/>
      </w:pPr>
      <w:r w:rsidRPr="00C574FE">
        <w:t xml:space="preserve">Table </w:t>
      </w:r>
      <w:r w:rsidR="007847E5" w:rsidRPr="00C574FE">
        <w:t>4</w:t>
      </w:r>
    </w:p>
    <w:p w14:paraId="1D3FAE7D" w14:textId="2AC9C10B" w:rsidR="009E4F22" w:rsidRPr="00C574FE" w:rsidRDefault="009E4F22" w:rsidP="009E4F22">
      <w:pPr>
        <w:rPr>
          <w:rFonts w:eastAsia="Batang"/>
          <w:bCs/>
          <w:i/>
        </w:rPr>
      </w:pPr>
      <w:r w:rsidRPr="00C574FE">
        <w:rPr>
          <w:rFonts w:eastAsia="Batang"/>
          <w:bCs/>
          <w:i/>
        </w:rPr>
        <w:t xml:space="preserve">Experiment </w:t>
      </w:r>
      <w:r w:rsidR="006B718B" w:rsidRPr="00C574FE">
        <w:rPr>
          <w:rFonts w:eastAsia="Batang"/>
          <w:bCs/>
          <w:i/>
        </w:rPr>
        <w:t>2</w:t>
      </w:r>
      <w:r w:rsidRPr="00C574FE">
        <w:rPr>
          <w:rFonts w:eastAsia="Batang"/>
          <w:bCs/>
          <w:i/>
        </w:rPr>
        <w:t>.  Mean number of accurate coarse-grain items, and mean (&amp; SD) proportion correct for all responses at and above each level of confidence for the three immediate interview conditions which recorded confidence.</w:t>
      </w:r>
    </w:p>
    <w:tbl>
      <w:tblPr>
        <w:tblW w:w="9180" w:type="dxa"/>
        <w:tblLayout w:type="fixed"/>
        <w:tblLook w:val="04A0" w:firstRow="1" w:lastRow="0" w:firstColumn="1" w:lastColumn="0" w:noHBand="0" w:noVBand="1"/>
      </w:tblPr>
      <w:tblGrid>
        <w:gridCol w:w="1384"/>
        <w:gridCol w:w="959"/>
        <w:gridCol w:w="1451"/>
        <w:gridCol w:w="1504"/>
        <w:gridCol w:w="1331"/>
        <w:gridCol w:w="959"/>
        <w:gridCol w:w="1592"/>
      </w:tblGrid>
      <w:tr w:rsidR="00932D4E" w:rsidRPr="00C574FE" w14:paraId="598F77A1" w14:textId="77777777" w:rsidTr="008E579B">
        <w:tc>
          <w:tcPr>
            <w:tcW w:w="1384" w:type="dxa"/>
            <w:tcBorders>
              <w:top w:val="single" w:sz="4" w:space="0" w:color="auto"/>
            </w:tcBorders>
            <w:shd w:val="clear" w:color="auto" w:fill="auto"/>
          </w:tcPr>
          <w:p w14:paraId="2F15A869" w14:textId="77777777" w:rsidR="00932D4E" w:rsidRPr="00C574FE" w:rsidRDefault="00932D4E" w:rsidP="008E579B">
            <w:pPr>
              <w:pStyle w:val="ANPhDThesisBody"/>
              <w:spacing w:line="360" w:lineRule="auto"/>
              <w:ind w:firstLine="0"/>
              <w:rPr>
                <w:szCs w:val="24"/>
              </w:rPr>
            </w:pPr>
          </w:p>
        </w:tc>
        <w:tc>
          <w:tcPr>
            <w:tcW w:w="2410" w:type="dxa"/>
            <w:gridSpan w:val="2"/>
            <w:tcBorders>
              <w:top w:val="single" w:sz="4" w:space="0" w:color="auto"/>
              <w:bottom w:val="single" w:sz="4" w:space="0" w:color="auto"/>
            </w:tcBorders>
            <w:shd w:val="clear" w:color="auto" w:fill="auto"/>
          </w:tcPr>
          <w:p w14:paraId="6CEA840E" w14:textId="77777777" w:rsidR="00932D4E" w:rsidRPr="00C574FE" w:rsidRDefault="00932D4E" w:rsidP="008E579B">
            <w:pPr>
              <w:pStyle w:val="ANPhDThesisBody"/>
              <w:spacing w:line="360" w:lineRule="auto"/>
              <w:ind w:firstLine="0"/>
              <w:jc w:val="center"/>
              <w:rPr>
                <w:szCs w:val="24"/>
              </w:rPr>
            </w:pPr>
            <w:r w:rsidRPr="00C574FE">
              <w:rPr>
                <w:szCs w:val="24"/>
              </w:rPr>
              <w:t>Forced Report:</w:t>
            </w:r>
          </w:p>
          <w:p w14:paraId="7BD90AF6" w14:textId="77777777" w:rsidR="00932D4E" w:rsidRPr="00C574FE" w:rsidRDefault="00932D4E" w:rsidP="008E579B">
            <w:pPr>
              <w:pStyle w:val="ANPhDThesisBody"/>
              <w:spacing w:line="360" w:lineRule="auto"/>
              <w:ind w:firstLine="0"/>
              <w:jc w:val="center"/>
              <w:rPr>
                <w:szCs w:val="24"/>
              </w:rPr>
            </w:pPr>
            <w:r w:rsidRPr="00C574FE">
              <w:rPr>
                <w:szCs w:val="24"/>
              </w:rPr>
              <w:t>Initial</w:t>
            </w:r>
          </w:p>
        </w:tc>
        <w:tc>
          <w:tcPr>
            <w:tcW w:w="2835" w:type="dxa"/>
            <w:gridSpan w:val="2"/>
            <w:tcBorders>
              <w:top w:val="single" w:sz="4" w:space="0" w:color="auto"/>
              <w:bottom w:val="single" w:sz="4" w:space="0" w:color="auto"/>
            </w:tcBorders>
            <w:shd w:val="clear" w:color="auto" w:fill="auto"/>
          </w:tcPr>
          <w:p w14:paraId="47C9BD96" w14:textId="77777777" w:rsidR="0070591A" w:rsidRPr="00C574FE" w:rsidRDefault="0070591A" w:rsidP="008E579B">
            <w:pPr>
              <w:pStyle w:val="ANPhDThesisBody"/>
              <w:spacing w:line="360" w:lineRule="auto"/>
              <w:ind w:firstLine="0"/>
              <w:jc w:val="center"/>
              <w:rPr>
                <w:szCs w:val="24"/>
              </w:rPr>
            </w:pPr>
            <w:r w:rsidRPr="00C574FE">
              <w:rPr>
                <w:szCs w:val="24"/>
              </w:rPr>
              <w:t>Adapted</w:t>
            </w:r>
          </w:p>
          <w:p w14:paraId="50868590" w14:textId="7EDB8D54" w:rsidR="00932D4E" w:rsidRPr="00C574FE" w:rsidRDefault="00932D4E" w:rsidP="008E579B">
            <w:pPr>
              <w:pStyle w:val="ANPhDThesisBody"/>
              <w:spacing w:line="360" w:lineRule="auto"/>
              <w:ind w:firstLine="0"/>
              <w:jc w:val="center"/>
              <w:rPr>
                <w:szCs w:val="24"/>
              </w:rPr>
            </w:pPr>
            <w:r w:rsidRPr="00C574FE">
              <w:rPr>
                <w:szCs w:val="24"/>
              </w:rPr>
              <w:t>SAI</w:t>
            </w:r>
            <w:r w:rsidR="00ED7BA6" w:rsidRPr="00C574FE">
              <w:rPr>
                <w:vertAlign w:val="superscript"/>
              </w:rPr>
              <w:t>©</w:t>
            </w:r>
          </w:p>
        </w:tc>
        <w:tc>
          <w:tcPr>
            <w:tcW w:w="2551" w:type="dxa"/>
            <w:gridSpan w:val="2"/>
            <w:tcBorders>
              <w:top w:val="single" w:sz="4" w:space="0" w:color="auto"/>
              <w:bottom w:val="single" w:sz="4" w:space="0" w:color="auto"/>
            </w:tcBorders>
            <w:shd w:val="clear" w:color="auto" w:fill="auto"/>
          </w:tcPr>
          <w:p w14:paraId="53BECB70" w14:textId="38105B08" w:rsidR="00932D4E" w:rsidRPr="00C574FE" w:rsidRDefault="00932D4E" w:rsidP="008E579B">
            <w:pPr>
              <w:pStyle w:val="ANPhDThesisBody"/>
              <w:spacing w:line="360" w:lineRule="auto"/>
              <w:ind w:firstLine="0"/>
              <w:jc w:val="center"/>
              <w:rPr>
                <w:szCs w:val="24"/>
              </w:rPr>
            </w:pPr>
            <w:r w:rsidRPr="00C574FE">
              <w:rPr>
                <w:szCs w:val="24"/>
              </w:rPr>
              <w:t xml:space="preserve">Free Recall </w:t>
            </w:r>
            <w:r w:rsidR="00922FE3" w:rsidRPr="00C574FE">
              <w:rPr>
                <w:szCs w:val="24"/>
                <w:lang w:val="en-US"/>
              </w:rPr>
              <w:t>Plus Confidence</w:t>
            </w:r>
          </w:p>
        </w:tc>
      </w:tr>
      <w:tr w:rsidR="00932D4E" w:rsidRPr="00C574FE" w14:paraId="161DA80F" w14:textId="77777777" w:rsidTr="008E579B">
        <w:tc>
          <w:tcPr>
            <w:tcW w:w="1384" w:type="dxa"/>
            <w:tcBorders>
              <w:bottom w:val="single" w:sz="4" w:space="0" w:color="auto"/>
            </w:tcBorders>
            <w:shd w:val="clear" w:color="auto" w:fill="auto"/>
          </w:tcPr>
          <w:p w14:paraId="6FED4390" w14:textId="77777777" w:rsidR="00932D4E" w:rsidRPr="00C574FE" w:rsidRDefault="00932D4E" w:rsidP="008E579B">
            <w:pPr>
              <w:pStyle w:val="ANPhDThesisBody"/>
              <w:spacing w:line="360" w:lineRule="auto"/>
              <w:ind w:firstLine="0"/>
              <w:rPr>
                <w:szCs w:val="24"/>
              </w:rPr>
            </w:pPr>
          </w:p>
        </w:tc>
        <w:tc>
          <w:tcPr>
            <w:tcW w:w="959" w:type="dxa"/>
            <w:tcBorders>
              <w:top w:val="single" w:sz="4" w:space="0" w:color="auto"/>
              <w:bottom w:val="single" w:sz="4" w:space="0" w:color="auto"/>
            </w:tcBorders>
            <w:shd w:val="clear" w:color="auto" w:fill="auto"/>
          </w:tcPr>
          <w:p w14:paraId="7C45D09D" w14:textId="77777777" w:rsidR="00932D4E" w:rsidRPr="00C574FE" w:rsidRDefault="00932D4E" w:rsidP="008E579B">
            <w:pPr>
              <w:pStyle w:val="ANPhDThesisBody"/>
              <w:spacing w:line="360" w:lineRule="auto"/>
              <w:ind w:firstLine="0"/>
              <w:jc w:val="center"/>
              <w:rPr>
                <w:szCs w:val="24"/>
              </w:rPr>
            </w:pPr>
            <w:r w:rsidRPr="00C574FE">
              <w:rPr>
                <w:szCs w:val="24"/>
              </w:rPr>
              <w:t>N</w:t>
            </w:r>
            <w:r w:rsidRPr="00C574FE">
              <w:rPr>
                <w:szCs w:val="24"/>
                <w:vertAlign w:val="subscript"/>
              </w:rPr>
              <w:t>A</w:t>
            </w:r>
          </w:p>
        </w:tc>
        <w:tc>
          <w:tcPr>
            <w:tcW w:w="1451" w:type="dxa"/>
            <w:tcBorders>
              <w:top w:val="single" w:sz="4" w:space="0" w:color="auto"/>
              <w:bottom w:val="single" w:sz="4" w:space="0" w:color="auto"/>
            </w:tcBorders>
            <w:shd w:val="clear" w:color="auto" w:fill="auto"/>
          </w:tcPr>
          <w:p w14:paraId="1D61070E" w14:textId="77777777" w:rsidR="00932D4E" w:rsidRPr="00C574FE" w:rsidRDefault="00932D4E" w:rsidP="008E579B">
            <w:pPr>
              <w:pStyle w:val="ANPhDThesisBody"/>
              <w:spacing w:line="360" w:lineRule="auto"/>
              <w:ind w:firstLine="0"/>
              <w:jc w:val="center"/>
              <w:rPr>
                <w:szCs w:val="24"/>
              </w:rPr>
            </w:pPr>
            <w:r w:rsidRPr="00C574FE">
              <w:rPr>
                <w:szCs w:val="24"/>
              </w:rPr>
              <w:t>P</w:t>
            </w:r>
            <w:r w:rsidRPr="00C574FE">
              <w:rPr>
                <w:szCs w:val="24"/>
                <w:vertAlign w:val="subscript"/>
              </w:rPr>
              <w:t>A</w:t>
            </w:r>
          </w:p>
        </w:tc>
        <w:tc>
          <w:tcPr>
            <w:tcW w:w="1504" w:type="dxa"/>
            <w:tcBorders>
              <w:top w:val="single" w:sz="4" w:space="0" w:color="auto"/>
              <w:bottom w:val="single" w:sz="4" w:space="0" w:color="auto"/>
            </w:tcBorders>
            <w:shd w:val="clear" w:color="auto" w:fill="auto"/>
          </w:tcPr>
          <w:p w14:paraId="2E586CD8" w14:textId="77777777" w:rsidR="00932D4E" w:rsidRPr="00C574FE" w:rsidRDefault="00932D4E" w:rsidP="008E579B">
            <w:pPr>
              <w:pStyle w:val="ANPhDThesisBody"/>
              <w:spacing w:line="360" w:lineRule="auto"/>
              <w:ind w:left="-21" w:firstLine="21"/>
              <w:jc w:val="center"/>
              <w:rPr>
                <w:szCs w:val="24"/>
              </w:rPr>
            </w:pPr>
            <w:r w:rsidRPr="00C574FE">
              <w:rPr>
                <w:szCs w:val="24"/>
              </w:rPr>
              <w:t>N</w:t>
            </w:r>
            <w:r w:rsidRPr="00C574FE">
              <w:rPr>
                <w:szCs w:val="24"/>
                <w:vertAlign w:val="subscript"/>
              </w:rPr>
              <w:t>A</w:t>
            </w:r>
          </w:p>
        </w:tc>
        <w:tc>
          <w:tcPr>
            <w:tcW w:w="1331" w:type="dxa"/>
            <w:tcBorders>
              <w:top w:val="single" w:sz="4" w:space="0" w:color="auto"/>
              <w:bottom w:val="single" w:sz="4" w:space="0" w:color="auto"/>
            </w:tcBorders>
            <w:shd w:val="clear" w:color="auto" w:fill="auto"/>
          </w:tcPr>
          <w:p w14:paraId="11545C42" w14:textId="77777777" w:rsidR="00932D4E" w:rsidRPr="00C574FE" w:rsidRDefault="00932D4E" w:rsidP="008E579B">
            <w:pPr>
              <w:pStyle w:val="ANPhDThesisBody"/>
              <w:spacing w:line="360" w:lineRule="auto"/>
              <w:ind w:firstLine="0"/>
              <w:jc w:val="center"/>
              <w:rPr>
                <w:szCs w:val="24"/>
              </w:rPr>
            </w:pPr>
            <w:r w:rsidRPr="00C574FE">
              <w:rPr>
                <w:szCs w:val="24"/>
              </w:rPr>
              <w:t>P</w:t>
            </w:r>
            <w:r w:rsidRPr="00C574FE">
              <w:rPr>
                <w:szCs w:val="24"/>
                <w:vertAlign w:val="subscript"/>
              </w:rPr>
              <w:t>A</w:t>
            </w:r>
          </w:p>
        </w:tc>
        <w:tc>
          <w:tcPr>
            <w:tcW w:w="959" w:type="dxa"/>
            <w:tcBorders>
              <w:top w:val="single" w:sz="4" w:space="0" w:color="auto"/>
              <w:bottom w:val="single" w:sz="4" w:space="0" w:color="auto"/>
            </w:tcBorders>
            <w:shd w:val="clear" w:color="auto" w:fill="auto"/>
          </w:tcPr>
          <w:p w14:paraId="6C6415E2" w14:textId="77777777" w:rsidR="00932D4E" w:rsidRPr="00C574FE" w:rsidRDefault="00932D4E" w:rsidP="008E579B">
            <w:pPr>
              <w:pStyle w:val="ANPhDThesisBody"/>
              <w:spacing w:line="360" w:lineRule="auto"/>
              <w:ind w:firstLine="0"/>
              <w:jc w:val="center"/>
              <w:rPr>
                <w:szCs w:val="24"/>
              </w:rPr>
            </w:pPr>
            <w:r w:rsidRPr="00C574FE">
              <w:rPr>
                <w:szCs w:val="24"/>
              </w:rPr>
              <w:t>N</w:t>
            </w:r>
            <w:r w:rsidRPr="00C574FE">
              <w:rPr>
                <w:szCs w:val="24"/>
                <w:vertAlign w:val="subscript"/>
              </w:rPr>
              <w:t>A</w:t>
            </w:r>
          </w:p>
        </w:tc>
        <w:tc>
          <w:tcPr>
            <w:tcW w:w="1592" w:type="dxa"/>
            <w:tcBorders>
              <w:top w:val="single" w:sz="4" w:space="0" w:color="auto"/>
              <w:bottom w:val="single" w:sz="4" w:space="0" w:color="auto"/>
            </w:tcBorders>
            <w:shd w:val="clear" w:color="auto" w:fill="auto"/>
          </w:tcPr>
          <w:p w14:paraId="56A86AFF" w14:textId="77777777" w:rsidR="00932D4E" w:rsidRPr="00C574FE" w:rsidRDefault="00932D4E" w:rsidP="008E579B">
            <w:pPr>
              <w:pStyle w:val="ANPhDThesisBody"/>
              <w:spacing w:line="360" w:lineRule="auto"/>
              <w:ind w:firstLine="0"/>
              <w:jc w:val="center"/>
              <w:rPr>
                <w:szCs w:val="24"/>
              </w:rPr>
            </w:pPr>
            <w:r w:rsidRPr="00C574FE">
              <w:rPr>
                <w:szCs w:val="24"/>
              </w:rPr>
              <w:t>P</w:t>
            </w:r>
            <w:r w:rsidRPr="00C574FE">
              <w:rPr>
                <w:szCs w:val="24"/>
                <w:vertAlign w:val="subscript"/>
              </w:rPr>
              <w:t>A</w:t>
            </w:r>
          </w:p>
        </w:tc>
      </w:tr>
      <w:tr w:rsidR="00932D4E" w:rsidRPr="00C574FE" w14:paraId="63B71EAD" w14:textId="77777777" w:rsidTr="008E579B">
        <w:tc>
          <w:tcPr>
            <w:tcW w:w="1384" w:type="dxa"/>
            <w:tcBorders>
              <w:top w:val="single" w:sz="4" w:space="0" w:color="auto"/>
            </w:tcBorders>
            <w:shd w:val="clear" w:color="auto" w:fill="auto"/>
          </w:tcPr>
          <w:p w14:paraId="0AC4FEC0" w14:textId="77777777" w:rsidR="00932D4E" w:rsidRPr="00C574FE" w:rsidRDefault="00932D4E" w:rsidP="008E579B">
            <w:pPr>
              <w:pStyle w:val="ANPhDThesisBody"/>
              <w:spacing w:line="360" w:lineRule="auto"/>
              <w:ind w:firstLine="0"/>
              <w:rPr>
                <w:szCs w:val="24"/>
              </w:rPr>
            </w:pPr>
            <w:r w:rsidRPr="00C574FE">
              <w:rPr>
                <w:szCs w:val="24"/>
              </w:rPr>
              <w:t>100</w:t>
            </w:r>
          </w:p>
        </w:tc>
        <w:tc>
          <w:tcPr>
            <w:tcW w:w="959" w:type="dxa"/>
            <w:tcBorders>
              <w:top w:val="single" w:sz="4" w:space="0" w:color="auto"/>
            </w:tcBorders>
            <w:shd w:val="clear" w:color="auto" w:fill="auto"/>
            <w:vAlign w:val="center"/>
          </w:tcPr>
          <w:p w14:paraId="426DC12D" w14:textId="77777777" w:rsidR="00932D4E" w:rsidRPr="00C574FE" w:rsidRDefault="00932D4E" w:rsidP="008E579B">
            <w:pPr>
              <w:spacing w:line="360" w:lineRule="auto"/>
              <w:jc w:val="center"/>
            </w:pPr>
            <w:r w:rsidRPr="00C574FE">
              <w:t>4.75</w:t>
            </w:r>
          </w:p>
          <w:p w14:paraId="0798A262" w14:textId="77777777" w:rsidR="00932D4E" w:rsidRPr="00C574FE" w:rsidRDefault="00932D4E" w:rsidP="008E579B">
            <w:pPr>
              <w:spacing w:line="360" w:lineRule="auto"/>
              <w:jc w:val="center"/>
            </w:pPr>
          </w:p>
        </w:tc>
        <w:tc>
          <w:tcPr>
            <w:tcW w:w="1451" w:type="dxa"/>
            <w:tcBorders>
              <w:top w:val="single" w:sz="4" w:space="0" w:color="auto"/>
            </w:tcBorders>
            <w:shd w:val="clear" w:color="auto" w:fill="auto"/>
            <w:vAlign w:val="center"/>
          </w:tcPr>
          <w:p w14:paraId="059A4493" w14:textId="77777777" w:rsidR="00932D4E" w:rsidRPr="00C574FE" w:rsidRDefault="00932D4E" w:rsidP="008E579B">
            <w:pPr>
              <w:spacing w:line="360" w:lineRule="auto"/>
              <w:jc w:val="center"/>
            </w:pPr>
            <w:r w:rsidRPr="00C574FE">
              <w:t>0.94</w:t>
            </w:r>
          </w:p>
          <w:p w14:paraId="0A456D02" w14:textId="77777777" w:rsidR="00932D4E" w:rsidRPr="00C574FE" w:rsidRDefault="00932D4E" w:rsidP="008E579B">
            <w:pPr>
              <w:spacing w:line="360" w:lineRule="auto"/>
              <w:jc w:val="center"/>
            </w:pPr>
            <w:r w:rsidRPr="00C574FE">
              <w:t>(0.12)</w:t>
            </w:r>
          </w:p>
        </w:tc>
        <w:tc>
          <w:tcPr>
            <w:tcW w:w="1504" w:type="dxa"/>
            <w:tcBorders>
              <w:top w:val="single" w:sz="4" w:space="0" w:color="auto"/>
            </w:tcBorders>
            <w:shd w:val="clear" w:color="auto" w:fill="auto"/>
            <w:vAlign w:val="center"/>
          </w:tcPr>
          <w:p w14:paraId="2473A2A5" w14:textId="77777777" w:rsidR="00932D4E" w:rsidRPr="00C574FE" w:rsidRDefault="00932D4E" w:rsidP="008E579B">
            <w:pPr>
              <w:spacing w:line="360" w:lineRule="auto"/>
              <w:jc w:val="center"/>
            </w:pPr>
            <w:r w:rsidRPr="00C574FE">
              <w:t>0.35</w:t>
            </w:r>
          </w:p>
          <w:p w14:paraId="03336145" w14:textId="77777777" w:rsidR="00932D4E" w:rsidRPr="00C574FE" w:rsidRDefault="00932D4E" w:rsidP="008E579B">
            <w:pPr>
              <w:spacing w:line="360" w:lineRule="auto"/>
              <w:jc w:val="center"/>
            </w:pPr>
          </w:p>
        </w:tc>
        <w:tc>
          <w:tcPr>
            <w:tcW w:w="1331" w:type="dxa"/>
            <w:tcBorders>
              <w:top w:val="single" w:sz="4" w:space="0" w:color="auto"/>
            </w:tcBorders>
            <w:shd w:val="clear" w:color="auto" w:fill="auto"/>
            <w:vAlign w:val="center"/>
          </w:tcPr>
          <w:p w14:paraId="652758EC" w14:textId="77777777" w:rsidR="00932D4E" w:rsidRPr="00C574FE" w:rsidRDefault="00932D4E" w:rsidP="008E579B">
            <w:pPr>
              <w:spacing w:line="360" w:lineRule="auto"/>
              <w:jc w:val="center"/>
            </w:pPr>
            <w:r w:rsidRPr="00C574FE">
              <w:t>0.86</w:t>
            </w:r>
          </w:p>
          <w:p w14:paraId="318B532B" w14:textId="77777777" w:rsidR="00932D4E" w:rsidRPr="00C574FE" w:rsidRDefault="00932D4E" w:rsidP="008E579B">
            <w:pPr>
              <w:spacing w:line="360" w:lineRule="auto"/>
              <w:jc w:val="center"/>
            </w:pPr>
            <w:r w:rsidRPr="00C574FE">
              <w:t>(0.38)</w:t>
            </w:r>
          </w:p>
        </w:tc>
        <w:tc>
          <w:tcPr>
            <w:tcW w:w="959" w:type="dxa"/>
            <w:tcBorders>
              <w:top w:val="single" w:sz="4" w:space="0" w:color="auto"/>
            </w:tcBorders>
            <w:shd w:val="clear" w:color="auto" w:fill="auto"/>
            <w:vAlign w:val="center"/>
          </w:tcPr>
          <w:p w14:paraId="490265A6" w14:textId="77777777" w:rsidR="00932D4E" w:rsidRPr="00C574FE" w:rsidRDefault="00932D4E" w:rsidP="008E579B">
            <w:pPr>
              <w:spacing w:line="360" w:lineRule="auto"/>
              <w:jc w:val="center"/>
            </w:pPr>
            <w:r w:rsidRPr="00C574FE">
              <w:t>0.10</w:t>
            </w:r>
          </w:p>
          <w:p w14:paraId="7C0260A7" w14:textId="77777777" w:rsidR="00932D4E" w:rsidRPr="00C574FE" w:rsidRDefault="00932D4E" w:rsidP="008E579B">
            <w:pPr>
              <w:spacing w:line="360" w:lineRule="auto"/>
              <w:jc w:val="center"/>
            </w:pPr>
          </w:p>
        </w:tc>
        <w:tc>
          <w:tcPr>
            <w:tcW w:w="1592" w:type="dxa"/>
            <w:tcBorders>
              <w:top w:val="single" w:sz="4" w:space="0" w:color="auto"/>
            </w:tcBorders>
            <w:shd w:val="clear" w:color="auto" w:fill="auto"/>
            <w:vAlign w:val="center"/>
          </w:tcPr>
          <w:p w14:paraId="0242CE39" w14:textId="77777777" w:rsidR="00932D4E" w:rsidRPr="00C574FE" w:rsidRDefault="00932D4E" w:rsidP="008E579B">
            <w:pPr>
              <w:spacing w:line="360" w:lineRule="auto"/>
              <w:jc w:val="center"/>
            </w:pPr>
            <w:r w:rsidRPr="00C574FE">
              <w:t>0.40</w:t>
            </w:r>
          </w:p>
          <w:p w14:paraId="57EE1561" w14:textId="77777777" w:rsidR="00932D4E" w:rsidRPr="00C574FE" w:rsidRDefault="00932D4E" w:rsidP="008E579B">
            <w:pPr>
              <w:spacing w:line="360" w:lineRule="auto"/>
              <w:jc w:val="center"/>
            </w:pPr>
            <w:r w:rsidRPr="00C574FE">
              <w:t>(0.55)</w:t>
            </w:r>
          </w:p>
        </w:tc>
      </w:tr>
      <w:tr w:rsidR="00932D4E" w:rsidRPr="00C574FE" w14:paraId="0720377B" w14:textId="77777777" w:rsidTr="008E579B">
        <w:tc>
          <w:tcPr>
            <w:tcW w:w="1384" w:type="dxa"/>
            <w:shd w:val="clear" w:color="auto" w:fill="auto"/>
          </w:tcPr>
          <w:p w14:paraId="0320CE09" w14:textId="77777777" w:rsidR="00932D4E" w:rsidRPr="00C574FE" w:rsidRDefault="00932D4E" w:rsidP="008E579B">
            <w:pPr>
              <w:pStyle w:val="ANPhDThesisBody"/>
              <w:spacing w:line="360" w:lineRule="auto"/>
              <w:ind w:firstLine="0"/>
              <w:rPr>
                <w:szCs w:val="24"/>
              </w:rPr>
            </w:pPr>
            <w:r w:rsidRPr="00C574FE">
              <w:rPr>
                <w:szCs w:val="24"/>
              </w:rPr>
              <w:t>≥ 90</w:t>
            </w:r>
          </w:p>
        </w:tc>
        <w:tc>
          <w:tcPr>
            <w:tcW w:w="959" w:type="dxa"/>
            <w:shd w:val="clear" w:color="auto" w:fill="auto"/>
            <w:vAlign w:val="center"/>
          </w:tcPr>
          <w:p w14:paraId="1C8CD410" w14:textId="77777777" w:rsidR="00932D4E" w:rsidRPr="00C574FE" w:rsidRDefault="00932D4E" w:rsidP="008E579B">
            <w:pPr>
              <w:spacing w:line="360" w:lineRule="auto"/>
              <w:jc w:val="center"/>
            </w:pPr>
            <w:r w:rsidRPr="00C574FE">
              <w:t>7.70</w:t>
            </w:r>
          </w:p>
          <w:p w14:paraId="61B02468" w14:textId="77777777" w:rsidR="00932D4E" w:rsidRPr="00C574FE" w:rsidRDefault="00932D4E" w:rsidP="008E579B">
            <w:pPr>
              <w:spacing w:line="360" w:lineRule="auto"/>
              <w:jc w:val="center"/>
            </w:pPr>
          </w:p>
        </w:tc>
        <w:tc>
          <w:tcPr>
            <w:tcW w:w="1451" w:type="dxa"/>
            <w:shd w:val="clear" w:color="auto" w:fill="auto"/>
            <w:vAlign w:val="center"/>
          </w:tcPr>
          <w:p w14:paraId="3D719C46" w14:textId="77777777" w:rsidR="00932D4E" w:rsidRPr="00C574FE" w:rsidRDefault="00932D4E" w:rsidP="008E579B">
            <w:pPr>
              <w:spacing w:line="360" w:lineRule="auto"/>
              <w:jc w:val="center"/>
            </w:pPr>
            <w:r w:rsidRPr="00C574FE">
              <w:t>0.87</w:t>
            </w:r>
          </w:p>
          <w:p w14:paraId="4A84F1E3" w14:textId="77777777" w:rsidR="00932D4E" w:rsidRPr="00C574FE" w:rsidRDefault="00932D4E" w:rsidP="008E579B">
            <w:pPr>
              <w:spacing w:line="360" w:lineRule="auto"/>
              <w:jc w:val="center"/>
            </w:pPr>
            <w:r w:rsidRPr="00C574FE">
              <w:t>(0.18)</w:t>
            </w:r>
          </w:p>
        </w:tc>
        <w:tc>
          <w:tcPr>
            <w:tcW w:w="1504" w:type="dxa"/>
            <w:shd w:val="clear" w:color="auto" w:fill="auto"/>
            <w:vAlign w:val="center"/>
          </w:tcPr>
          <w:p w14:paraId="69405DBD" w14:textId="77777777" w:rsidR="00932D4E" w:rsidRPr="00C574FE" w:rsidRDefault="00932D4E" w:rsidP="008E579B">
            <w:pPr>
              <w:spacing w:line="360" w:lineRule="auto"/>
              <w:jc w:val="center"/>
            </w:pPr>
            <w:r w:rsidRPr="00C574FE">
              <w:t>0.45</w:t>
            </w:r>
          </w:p>
          <w:p w14:paraId="6559186A" w14:textId="77777777" w:rsidR="00932D4E" w:rsidRPr="00C574FE" w:rsidRDefault="00932D4E" w:rsidP="008E579B">
            <w:pPr>
              <w:spacing w:line="360" w:lineRule="auto"/>
              <w:jc w:val="center"/>
            </w:pPr>
          </w:p>
        </w:tc>
        <w:tc>
          <w:tcPr>
            <w:tcW w:w="1331" w:type="dxa"/>
            <w:shd w:val="clear" w:color="auto" w:fill="auto"/>
            <w:vAlign w:val="center"/>
          </w:tcPr>
          <w:p w14:paraId="260A84E8" w14:textId="77777777" w:rsidR="00932D4E" w:rsidRPr="00C574FE" w:rsidRDefault="00932D4E" w:rsidP="008E579B">
            <w:pPr>
              <w:spacing w:line="360" w:lineRule="auto"/>
              <w:jc w:val="center"/>
            </w:pPr>
            <w:r w:rsidRPr="00C574FE">
              <w:t>0.72</w:t>
            </w:r>
          </w:p>
          <w:p w14:paraId="7C998F6B" w14:textId="77777777" w:rsidR="00932D4E" w:rsidRPr="00C574FE" w:rsidRDefault="00932D4E" w:rsidP="008E579B">
            <w:pPr>
              <w:spacing w:line="360" w:lineRule="auto"/>
              <w:jc w:val="center"/>
            </w:pPr>
            <w:r w:rsidRPr="00C574FE">
              <w:t>(0.44)</w:t>
            </w:r>
          </w:p>
        </w:tc>
        <w:tc>
          <w:tcPr>
            <w:tcW w:w="959" w:type="dxa"/>
            <w:shd w:val="clear" w:color="auto" w:fill="auto"/>
            <w:vAlign w:val="center"/>
          </w:tcPr>
          <w:p w14:paraId="2A200597" w14:textId="77777777" w:rsidR="00932D4E" w:rsidRPr="00C574FE" w:rsidRDefault="00932D4E" w:rsidP="008E579B">
            <w:pPr>
              <w:spacing w:line="360" w:lineRule="auto"/>
              <w:jc w:val="center"/>
            </w:pPr>
            <w:r w:rsidRPr="00C574FE">
              <w:t>0.20</w:t>
            </w:r>
          </w:p>
          <w:p w14:paraId="2983464D" w14:textId="77777777" w:rsidR="00932D4E" w:rsidRPr="00C574FE" w:rsidRDefault="00932D4E" w:rsidP="008E579B">
            <w:pPr>
              <w:spacing w:line="360" w:lineRule="auto"/>
              <w:jc w:val="center"/>
            </w:pPr>
          </w:p>
        </w:tc>
        <w:tc>
          <w:tcPr>
            <w:tcW w:w="1592" w:type="dxa"/>
            <w:shd w:val="clear" w:color="auto" w:fill="auto"/>
            <w:vAlign w:val="center"/>
          </w:tcPr>
          <w:p w14:paraId="2C2CC6A6" w14:textId="77777777" w:rsidR="00932D4E" w:rsidRPr="00C574FE" w:rsidRDefault="00932D4E" w:rsidP="008E579B">
            <w:pPr>
              <w:spacing w:line="360" w:lineRule="auto"/>
              <w:jc w:val="center"/>
            </w:pPr>
            <w:r w:rsidRPr="00C574FE">
              <w:t>0.50</w:t>
            </w:r>
          </w:p>
          <w:p w14:paraId="4CCD9D81" w14:textId="77777777" w:rsidR="00932D4E" w:rsidRPr="00C574FE" w:rsidRDefault="00932D4E" w:rsidP="008E579B">
            <w:pPr>
              <w:spacing w:line="360" w:lineRule="auto"/>
              <w:jc w:val="center"/>
            </w:pPr>
            <w:r w:rsidRPr="00C574FE">
              <w:t>(0.55)</w:t>
            </w:r>
          </w:p>
        </w:tc>
      </w:tr>
      <w:tr w:rsidR="00932D4E" w:rsidRPr="00C574FE" w14:paraId="71F0FB92" w14:textId="77777777" w:rsidTr="008E579B">
        <w:tc>
          <w:tcPr>
            <w:tcW w:w="1384" w:type="dxa"/>
            <w:shd w:val="clear" w:color="auto" w:fill="auto"/>
          </w:tcPr>
          <w:p w14:paraId="79FD2672" w14:textId="77777777" w:rsidR="00932D4E" w:rsidRPr="00C574FE" w:rsidRDefault="00932D4E" w:rsidP="008E579B">
            <w:pPr>
              <w:pStyle w:val="ANPhDThesisBody"/>
              <w:spacing w:line="360" w:lineRule="auto"/>
              <w:ind w:firstLine="0"/>
              <w:rPr>
                <w:szCs w:val="24"/>
              </w:rPr>
            </w:pPr>
            <w:r w:rsidRPr="00C574FE">
              <w:rPr>
                <w:szCs w:val="24"/>
              </w:rPr>
              <w:t>≥ 80</w:t>
            </w:r>
          </w:p>
        </w:tc>
        <w:tc>
          <w:tcPr>
            <w:tcW w:w="959" w:type="dxa"/>
            <w:shd w:val="clear" w:color="auto" w:fill="auto"/>
            <w:vAlign w:val="center"/>
          </w:tcPr>
          <w:p w14:paraId="7FB8EF87" w14:textId="77777777" w:rsidR="00932D4E" w:rsidRPr="00C574FE" w:rsidRDefault="00932D4E" w:rsidP="008E579B">
            <w:pPr>
              <w:spacing w:line="360" w:lineRule="auto"/>
              <w:jc w:val="center"/>
            </w:pPr>
            <w:r w:rsidRPr="00C574FE">
              <w:t>11.40</w:t>
            </w:r>
          </w:p>
          <w:p w14:paraId="74CA01A8" w14:textId="77777777" w:rsidR="00932D4E" w:rsidRPr="00C574FE" w:rsidRDefault="00932D4E" w:rsidP="008E579B">
            <w:pPr>
              <w:spacing w:line="360" w:lineRule="auto"/>
              <w:jc w:val="center"/>
            </w:pPr>
          </w:p>
        </w:tc>
        <w:tc>
          <w:tcPr>
            <w:tcW w:w="1451" w:type="dxa"/>
            <w:shd w:val="clear" w:color="auto" w:fill="auto"/>
            <w:vAlign w:val="center"/>
          </w:tcPr>
          <w:p w14:paraId="04AE6E5D" w14:textId="77777777" w:rsidR="00932D4E" w:rsidRPr="00C574FE" w:rsidRDefault="00932D4E" w:rsidP="008E579B">
            <w:pPr>
              <w:spacing w:line="360" w:lineRule="auto"/>
              <w:jc w:val="center"/>
            </w:pPr>
            <w:r w:rsidRPr="00C574FE">
              <w:t>0.80</w:t>
            </w:r>
          </w:p>
          <w:p w14:paraId="32CCA1A7" w14:textId="77777777" w:rsidR="00932D4E" w:rsidRPr="00C574FE" w:rsidRDefault="00932D4E" w:rsidP="008E579B">
            <w:pPr>
              <w:spacing w:line="360" w:lineRule="auto"/>
              <w:jc w:val="center"/>
            </w:pPr>
            <w:r w:rsidRPr="00C574FE">
              <w:t>(0.17)</w:t>
            </w:r>
          </w:p>
        </w:tc>
        <w:tc>
          <w:tcPr>
            <w:tcW w:w="1504" w:type="dxa"/>
            <w:shd w:val="clear" w:color="auto" w:fill="auto"/>
            <w:vAlign w:val="center"/>
          </w:tcPr>
          <w:p w14:paraId="6F626286" w14:textId="77777777" w:rsidR="00932D4E" w:rsidRPr="00C574FE" w:rsidRDefault="00932D4E" w:rsidP="008E579B">
            <w:pPr>
              <w:spacing w:line="360" w:lineRule="auto"/>
              <w:jc w:val="center"/>
            </w:pPr>
            <w:r w:rsidRPr="00C574FE">
              <w:t>0.60</w:t>
            </w:r>
          </w:p>
          <w:p w14:paraId="2C6AAD3C" w14:textId="77777777" w:rsidR="00932D4E" w:rsidRPr="00C574FE" w:rsidRDefault="00932D4E" w:rsidP="008E579B">
            <w:pPr>
              <w:spacing w:line="360" w:lineRule="auto"/>
              <w:jc w:val="center"/>
            </w:pPr>
          </w:p>
        </w:tc>
        <w:tc>
          <w:tcPr>
            <w:tcW w:w="1331" w:type="dxa"/>
            <w:shd w:val="clear" w:color="auto" w:fill="auto"/>
            <w:vAlign w:val="center"/>
          </w:tcPr>
          <w:p w14:paraId="1384A8B2" w14:textId="77777777" w:rsidR="00932D4E" w:rsidRPr="00C574FE" w:rsidRDefault="00932D4E" w:rsidP="008E579B">
            <w:pPr>
              <w:spacing w:line="360" w:lineRule="auto"/>
              <w:jc w:val="center"/>
            </w:pPr>
            <w:r w:rsidRPr="00C574FE">
              <w:t>0.62</w:t>
            </w:r>
          </w:p>
          <w:p w14:paraId="63487C98" w14:textId="77777777" w:rsidR="00932D4E" w:rsidRPr="00C574FE" w:rsidRDefault="00932D4E" w:rsidP="008E579B">
            <w:pPr>
              <w:spacing w:line="360" w:lineRule="auto"/>
              <w:jc w:val="center"/>
            </w:pPr>
            <w:r w:rsidRPr="00C574FE">
              <w:t>(0.46)</w:t>
            </w:r>
          </w:p>
        </w:tc>
        <w:tc>
          <w:tcPr>
            <w:tcW w:w="959" w:type="dxa"/>
            <w:shd w:val="clear" w:color="auto" w:fill="auto"/>
            <w:vAlign w:val="center"/>
          </w:tcPr>
          <w:p w14:paraId="6EE0BB71" w14:textId="77777777" w:rsidR="00932D4E" w:rsidRPr="00C574FE" w:rsidRDefault="00932D4E" w:rsidP="008E579B">
            <w:pPr>
              <w:spacing w:line="360" w:lineRule="auto"/>
              <w:jc w:val="center"/>
            </w:pPr>
            <w:r w:rsidRPr="00C574FE">
              <w:t>0.20</w:t>
            </w:r>
          </w:p>
          <w:p w14:paraId="3E83D14A" w14:textId="77777777" w:rsidR="00932D4E" w:rsidRPr="00C574FE" w:rsidRDefault="00932D4E" w:rsidP="008E579B">
            <w:pPr>
              <w:spacing w:line="360" w:lineRule="auto"/>
              <w:jc w:val="center"/>
            </w:pPr>
          </w:p>
        </w:tc>
        <w:tc>
          <w:tcPr>
            <w:tcW w:w="1592" w:type="dxa"/>
            <w:shd w:val="clear" w:color="auto" w:fill="auto"/>
            <w:vAlign w:val="center"/>
          </w:tcPr>
          <w:p w14:paraId="6200EBCE" w14:textId="77777777" w:rsidR="00932D4E" w:rsidRPr="00C574FE" w:rsidRDefault="00932D4E" w:rsidP="008E579B">
            <w:pPr>
              <w:spacing w:line="360" w:lineRule="auto"/>
              <w:jc w:val="center"/>
            </w:pPr>
            <w:r w:rsidRPr="00C574FE">
              <w:t>0.38</w:t>
            </w:r>
          </w:p>
          <w:p w14:paraId="58633B90" w14:textId="77777777" w:rsidR="00932D4E" w:rsidRPr="00C574FE" w:rsidRDefault="00932D4E" w:rsidP="008E579B">
            <w:pPr>
              <w:spacing w:line="360" w:lineRule="auto"/>
              <w:jc w:val="center"/>
            </w:pPr>
            <w:r w:rsidRPr="00C574FE">
              <w:t>(0.52)</w:t>
            </w:r>
          </w:p>
        </w:tc>
      </w:tr>
      <w:tr w:rsidR="00932D4E" w:rsidRPr="00C574FE" w14:paraId="52A77D74" w14:textId="77777777" w:rsidTr="008E579B">
        <w:tc>
          <w:tcPr>
            <w:tcW w:w="1384" w:type="dxa"/>
            <w:shd w:val="clear" w:color="auto" w:fill="auto"/>
          </w:tcPr>
          <w:p w14:paraId="44EFFE55" w14:textId="77777777" w:rsidR="00932D4E" w:rsidRPr="00C574FE" w:rsidRDefault="00932D4E" w:rsidP="008E579B">
            <w:pPr>
              <w:pStyle w:val="ANPhDThesisBody"/>
              <w:spacing w:line="360" w:lineRule="auto"/>
              <w:ind w:firstLine="0"/>
              <w:rPr>
                <w:szCs w:val="24"/>
              </w:rPr>
            </w:pPr>
            <w:r w:rsidRPr="00C574FE">
              <w:rPr>
                <w:szCs w:val="24"/>
              </w:rPr>
              <w:t>≥ 70</w:t>
            </w:r>
          </w:p>
        </w:tc>
        <w:tc>
          <w:tcPr>
            <w:tcW w:w="959" w:type="dxa"/>
            <w:shd w:val="clear" w:color="auto" w:fill="auto"/>
            <w:vAlign w:val="center"/>
          </w:tcPr>
          <w:p w14:paraId="45FCEB1B" w14:textId="77777777" w:rsidR="00932D4E" w:rsidRPr="00C574FE" w:rsidRDefault="00932D4E" w:rsidP="008E579B">
            <w:pPr>
              <w:spacing w:line="360" w:lineRule="auto"/>
              <w:jc w:val="center"/>
            </w:pPr>
            <w:r w:rsidRPr="00C574FE">
              <w:t>14.10</w:t>
            </w:r>
          </w:p>
          <w:p w14:paraId="12D437B0" w14:textId="77777777" w:rsidR="00932D4E" w:rsidRPr="00C574FE" w:rsidRDefault="00932D4E" w:rsidP="008E579B">
            <w:pPr>
              <w:spacing w:line="360" w:lineRule="auto"/>
              <w:jc w:val="center"/>
            </w:pPr>
          </w:p>
        </w:tc>
        <w:tc>
          <w:tcPr>
            <w:tcW w:w="1451" w:type="dxa"/>
            <w:shd w:val="clear" w:color="auto" w:fill="auto"/>
            <w:vAlign w:val="center"/>
          </w:tcPr>
          <w:p w14:paraId="72691C59" w14:textId="77777777" w:rsidR="00932D4E" w:rsidRPr="00C574FE" w:rsidRDefault="00932D4E" w:rsidP="008E579B">
            <w:pPr>
              <w:spacing w:line="360" w:lineRule="auto"/>
              <w:jc w:val="center"/>
            </w:pPr>
            <w:r w:rsidRPr="00C574FE">
              <w:t>0.76</w:t>
            </w:r>
          </w:p>
          <w:p w14:paraId="45717220" w14:textId="77777777" w:rsidR="00932D4E" w:rsidRPr="00C574FE" w:rsidRDefault="00932D4E" w:rsidP="008E579B">
            <w:pPr>
              <w:spacing w:line="360" w:lineRule="auto"/>
              <w:jc w:val="center"/>
            </w:pPr>
            <w:r w:rsidRPr="00C574FE">
              <w:t>(0.14)</w:t>
            </w:r>
          </w:p>
        </w:tc>
        <w:tc>
          <w:tcPr>
            <w:tcW w:w="1504" w:type="dxa"/>
            <w:shd w:val="clear" w:color="auto" w:fill="auto"/>
            <w:vAlign w:val="center"/>
          </w:tcPr>
          <w:p w14:paraId="2C340FC4" w14:textId="77777777" w:rsidR="00932D4E" w:rsidRPr="00C574FE" w:rsidRDefault="00932D4E" w:rsidP="008E579B">
            <w:pPr>
              <w:spacing w:line="360" w:lineRule="auto"/>
              <w:jc w:val="center"/>
            </w:pPr>
            <w:r w:rsidRPr="00C574FE">
              <w:t>0.90</w:t>
            </w:r>
          </w:p>
          <w:p w14:paraId="644D9962" w14:textId="77777777" w:rsidR="00932D4E" w:rsidRPr="00C574FE" w:rsidRDefault="00932D4E" w:rsidP="008E579B">
            <w:pPr>
              <w:spacing w:line="360" w:lineRule="auto"/>
              <w:jc w:val="center"/>
            </w:pPr>
          </w:p>
        </w:tc>
        <w:tc>
          <w:tcPr>
            <w:tcW w:w="1331" w:type="dxa"/>
            <w:shd w:val="clear" w:color="auto" w:fill="auto"/>
            <w:vAlign w:val="center"/>
          </w:tcPr>
          <w:p w14:paraId="100233E0" w14:textId="77777777" w:rsidR="00932D4E" w:rsidRPr="00C574FE" w:rsidRDefault="00932D4E" w:rsidP="008E579B">
            <w:pPr>
              <w:spacing w:line="360" w:lineRule="auto"/>
              <w:jc w:val="center"/>
            </w:pPr>
            <w:r w:rsidRPr="00C574FE">
              <w:t>0.67</w:t>
            </w:r>
          </w:p>
          <w:p w14:paraId="3F8CC1BC" w14:textId="77777777" w:rsidR="00932D4E" w:rsidRPr="00C574FE" w:rsidRDefault="00932D4E" w:rsidP="008E579B">
            <w:pPr>
              <w:spacing w:line="360" w:lineRule="auto"/>
              <w:jc w:val="center"/>
            </w:pPr>
            <w:r w:rsidRPr="00C574FE">
              <w:t>(0.41)</w:t>
            </w:r>
          </w:p>
        </w:tc>
        <w:tc>
          <w:tcPr>
            <w:tcW w:w="959" w:type="dxa"/>
            <w:shd w:val="clear" w:color="auto" w:fill="auto"/>
            <w:vAlign w:val="center"/>
          </w:tcPr>
          <w:p w14:paraId="15F12D54" w14:textId="77777777" w:rsidR="00932D4E" w:rsidRPr="00C574FE" w:rsidRDefault="00932D4E" w:rsidP="008E579B">
            <w:pPr>
              <w:spacing w:line="360" w:lineRule="auto"/>
              <w:jc w:val="center"/>
            </w:pPr>
            <w:r w:rsidRPr="00C574FE">
              <w:t>0.20</w:t>
            </w:r>
          </w:p>
          <w:p w14:paraId="6064B5CC" w14:textId="77777777" w:rsidR="00932D4E" w:rsidRPr="00C574FE" w:rsidRDefault="00932D4E" w:rsidP="008E579B">
            <w:pPr>
              <w:spacing w:line="360" w:lineRule="auto"/>
              <w:jc w:val="center"/>
            </w:pPr>
          </w:p>
        </w:tc>
        <w:tc>
          <w:tcPr>
            <w:tcW w:w="1592" w:type="dxa"/>
            <w:shd w:val="clear" w:color="auto" w:fill="auto"/>
            <w:vAlign w:val="center"/>
          </w:tcPr>
          <w:p w14:paraId="129F3B7D" w14:textId="77777777" w:rsidR="00932D4E" w:rsidRPr="00C574FE" w:rsidRDefault="00932D4E" w:rsidP="008E579B">
            <w:pPr>
              <w:spacing w:line="360" w:lineRule="auto"/>
              <w:jc w:val="center"/>
            </w:pPr>
            <w:r w:rsidRPr="00C574FE">
              <w:t>0.38</w:t>
            </w:r>
          </w:p>
          <w:p w14:paraId="01B9DEDD" w14:textId="77777777" w:rsidR="00932D4E" w:rsidRPr="00C574FE" w:rsidRDefault="00932D4E" w:rsidP="008E579B">
            <w:pPr>
              <w:spacing w:line="360" w:lineRule="auto"/>
              <w:jc w:val="center"/>
            </w:pPr>
            <w:r w:rsidRPr="00C574FE">
              <w:t>(0.52)</w:t>
            </w:r>
          </w:p>
        </w:tc>
      </w:tr>
      <w:tr w:rsidR="00932D4E" w:rsidRPr="00C574FE" w14:paraId="7AACB328" w14:textId="77777777" w:rsidTr="008E579B">
        <w:tc>
          <w:tcPr>
            <w:tcW w:w="1384" w:type="dxa"/>
            <w:shd w:val="clear" w:color="auto" w:fill="auto"/>
          </w:tcPr>
          <w:p w14:paraId="7E84BBAF" w14:textId="77777777" w:rsidR="00932D4E" w:rsidRPr="00C574FE" w:rsidRDefault="00932D4E" w:rsidP="008E579B">
            <w:pPr>
              <w:pStyle w:val="ANPhDThesisBody"/>
              <w:spacing w:line="360" w:lineRule="auto"/>
              <w:ind w:firstLine="0"/>
              <w:rPr>
                <w:szCs w:val="24"/>
              </w:rPr>
            </w:pPr>
            <w:r w:rsidRPr="00C574FE">
              <w:rPr>
                <w:szCs w:val="24"/>
              </w:rPr>
              <w:t>≥ 60</w:t>
            </w:r>
          </w:p>
        </w:tc>
        <w:tc>
          <w:tcPr>
            <w:tcW w:w="959" w:type="dxa"/>
            <w:shd w:val="clear" w:color="auto" w:fill="auto"/>
            <w:vAlign w:val="center"/>
          </w:tcPr>
          <w:p w14:paraId="452112AC" w14:textId="77777777" w:rsidR="00932D4E" w:rsidRPr="00C574FE" w:rsidRDefault="00932D4E" w:rsidP="008E579B">
            <w:pPr>
              <w:spacing w:line="360" w:lineRule="auto"/>
              <w:jc w:val="center"/>
            </w:pPr>
            <w:r w:rsidRPr="00C574FE">
              <w:t>16.70</w:t>
            </w:r>
          </w:p>
          <w:p w14:paraId="20D6321E" w14:textId="77777777" w:rsidR="00932D4E" w:rsidRPr="00C574FE" w:rsidRDefault="00932D4E" w:rsidP="008E579B">
            <w:pPr>
              <w:spacing w:line="360" w:lineRule="auto"/>
              <w:jc w:val="center"/>
            </w:pPr>
          </w:p>
        </w:tc>
        <w:tc>
          <w:tcPr>
            <w:tcW w:w="1451" w:type="dxa"/>
            <w:shd w:val="clear" w:color="auto" w:fill="auto"/>
            <w:vAlign w:val="center"/>
          </w:tcPr>
          <w:p w14:paraId="544D7660" w14:textId="77777777" w:rsidR="00932D4E" w:rsidRPr="00C574FE" w:rsidRDefault="00932D4E" w:rsidP="008E579B">
            <w:pPr>
              <w:spacing w:line="360" w:lineRule="auto"/>
              <w:jc w:val="center"/>
            </w:pPr>
            <w:r w:rsidRPr="00C574FE">
              <w:t>0.74</w:t>
            </w:r>
          </w:p>
          <w:p w14:paraId="3AC313AC" w14:textId="77777777" w:rsidR="00932D4E" w:rsidRPr="00C574FE" w:rsidRDefault="00932D4E" w:rsidP="008E579B">
            <w:pPr>
              <w:spacing w:line="360" w:lineRule="auto"/>
              <w:jc w:val="center"/>
            </w:pPr>
            <w:r w:rsidRPr="00C574FE">
              <w:t>(0.14)</w:t>
            </w:r>
          </w:p>
        </w:tc>
        <w:tc>
          <w:tcPr>
            <w:tcW w:w="1504" w:type="dxa"/>
            <w:shd w:val="clear" w:color="auto" w:fill="auto"/>
            <w:vAlign w:val="center"/>
          </w:tcPr>
          <w:p w14:paraId="68D67C4F" w14:textId="77777777" w:rsidR="00932D4E" w:rsidRPr="00C574FE" w:rsidRDefault="00932D4E" w:rsidP="008E579B">
            <w:pPr>
              <w:spacing w:line="360" w:lineRule="auto"/>
              <w:jc w:val="center"/>
            </w:pPr>
            <w:r w:rsidRPr="00C574FE">
              <w:t>1.10</w:t>
            </w:r>
          </w:p>
          <w:p w14:paraId="076BBFD7" w14:textId="77777777" w:rsidR="00932D4E" w:rsidRPr="00C574FE" w:rsidRDefault="00932D4E" w:rsidP="008E579B">
            <w:pPr>
              <w:spacing w:line="360" w:lineRule="auto"/>
              <w:jc w:val="center"/>
            </w:pPr>
          </w:p>
        </w:tc>
        <w:tc>
          <w:tcPr>
            <w:tcW w:w="1331" w:type="dxa"/>
            <w:shd w:val="clear" w:color="auto" w:fill="auto"/>
            <w:vAlign w:val="center"/>
          </w:tcPr>
          <w:p w14:paraId="4BAB461D" w14:textId="77777777" w:rsidR="00932D4E" w:rsidRPr="00C574FE" w:rsidRDefault="00932D4E" w:rsidP="008E579B">
            <w:pPr>
              <w:spacing w:line="360" w:lineRule="auto"/>
              <w:jc w:val="center"/>
            </w:pPr>
            <w:r w:rsidRPr="00C574FE">
              <w:t>0.64</w:t>
            </w:r>
          </w:p>
          <w:p w14:paraId="04ADAA6B" w14:textId="77777777" w:rsidR="00932D4E" w:rsidRPr="00C574FE" w:rsidRDefault="00932D4E" w:rsidP="008E579B">
            <w:pPr>
              <w:spacing w:line="360" w:lineRule="auto"/>
              <w:jc w:val="center"/>
            </w:pPr>
            <w:r w:rsidRPr="00C574FE">
              <w:t>(0.43)</w:t>
            </w:r>
          </w:p>
        </w:tc>
        <w:tc>
          <w:tcPr>
            <w:tcW w:w="959" w:type="dxa"/>
            <w:shd w:val="clear" w:color="auto" w:fill="auto"/>
            <w:vAlign w:val="center"/>
          </w:tcPr>
          <w:p w14:paraId="156F8338" w14:textId="77777777" w:rsidR="00932D4E" w:rsidRPr="00C574FE" w:rsidRDefault="00932D4E" w:rsidP="008E579B">
            <w:pPr>
              <w:spacing w:line="360" w:lineRule="auto"/>
              <w:jc w:val="center"/>
            </w:pPr>
            <w:r w:rsidRPr="00C574FE">
              <w:t>0.20</w:t>
            </w:r>
          </w:p>
          <w:p w14:paraId="7209C598" w14:textId="77777777" w:rsidR="00932D4E" w:rsidRPr="00C574FE" w:rsidRDefault="00932D4E" w:rsidP="008E579B">
            <w:pPr>
              <w:spacing w:line="360" w:lineRule="auto"/>
              <w:jc w:val="center"/>
            </w:pPr>
          </w:p>
        </w:tc>
        <w:tc>
          <w:tcPr>
            <w:tcW w:w="1592" w:type="dxa"/>
            <w:shd w:val="clear" w:color="auto" w:fill="auto"/>
            <w:vAlign w:val="center"/>
          </w:tcPr>
          <w:p w14:paraId="7BEE58A4" w14:textId="77777777" w:rsidR="00932D4E" w:rsidRPr="00C574FE" w:rsidRDefault="00932D4E" w:rsidP="008E579B">
            <w:pPr>
              <w:spacing w:line="360" w:lineRule="auto"/>
              <w:jc w:val="center"/>
            </w:pPr>
            <w:r w:rsidRPr="00C574FE">
              <w:t>0.38</w:t>
            </w:r>
          </w:p>
          <w:p w14:paraId="01CB98AC" w14:textId="77777777" w:rsidR="00932D4E" w:rsidRPr="00C574FE" w:rsidRDefault="00932D4E" w:rsidP="008E579B">
            <w:pPr>
              <w:spacing w:line="360" w:lineRule="auto"/>
              <w:jc w:val="center"/>
            </w:pPr>
            <w:r w:rsidRPr="00C574FE">
              <w:t>(0.52)</w:t>
            </w:r>
          </w:p>
        </w:tc>
      </w:tr>
      <w:tr w:rsidR="00932D4E" w:rsidRPr="00C574FE" w14:paraId="54735258" w14:textId="77777777" w:rsidTr="008E579B">
        <w:tc>
          <w:tcPr>
            <w:tcW w:w="1384" w:type="dxa"/>
            <w:shd w:val="clear" w:color="auto" w:fill="auto"/>
          </w:tcPr>
          <w:p w14:paraId="4E61F9F9" w14:textId="77777777" w:rsidR="00932D4E" w:rsidRPr="00C574FE" w:rsidRDefault="00932D4E" w:rsidP="008E579B">
            <w:pPr>
              <w:pStyle w:val="ANPhDThesisBody"/>
              <w:spacing w:line="360" w:lineRule="auto"/>
              <w:ind w:firstLine="0"/>
              <w:rPr>
                <w:szCs w:val="24"/>
              </w:rPr>
            </w:pPr>
            <w:r w:rsidRPr="00C574FE">
              <w:rPr>
                <w:szCs w:val="24"/>
              </w:rPr>
              <w:t>≥ 50</w:t>
            </w:r>
          </w:p>
        </w:tc>
        <w:tc>
          <w:tcPr>
            <w:tcW w:w="959" w:type="dxa"/>
            <w:shd w:val="clear" w:color="auto" w:fill="auto"/>
            <w:vAlign w:val="center"/>
          </w:tcPr>
          <w:p w14:paraId="1FBF9A5A" w14:textId="77777777" w:rsidR="00932D4E" w:rsidRPr="00C574FE" w:rsidRDefault="00932D4E" w:rsidP="008E579B">
            <w:pPr>
              <w:spacing w:line="360" w:lineRule="auto"/>
              <w:jc w:val="center"/>
            </w:pPr>
            <w:r w:rsidRPr="00C574FE">
              <w:t>18.45</w:t>
            </w:r>
          </w:p>
          <w:p w14:paraId="149140D2" w14:textId="77777777" w:rsidR="00932D4E" w:rsidRPr="00C574FE" w:rsidRDefault="00932D4E" w:rsidP="008E579B">
            <w:pPr>
              <w:spacing w:line="360" w:lineRule="auto"/>
              <w:jc w:val="center"/>
            </w:pPr>
          </w:p>
        </w:tc>
        <w:tc>
          <w:tcPr>
            <w:tcW w:w="1451" w:type="dxa"/>
            <w:shd w:val="clear" w:color="auto" w:fill="auto"/>
            <w:vAlign w:val="center"/>
          </w:tcPr>
          <w:p w14:paraId="23706EC4" w14:textId="77777777" w:rsidR="00932D4E" w:rsidRPr="00C574FE" w:rsidRDefault="00932D4E" w:rsidP="008E579B">
            <w:pPr>
              <w:spacing w:line="360" w:lineRule="auto"/>
              <w:jc w:val="center"/>
            </w:pPr>
            <w:r w:rsidRPr="00C574FE">
              <w:t>0.71</w:t>
            </w:r>
          </w:p>
          <w:p w14:paraId="2B560AB4" w14:textId="77777777" w:rsidR="00932D4E" w:rsidRPr="00C574FE" w:rsidRDefault="00932D4E" w:rsidP="008E579B">
            <w:pPr>
              <w:spacing w:line="360" w:lineRule="auto"/>
              <w:jc w:val="center"/>
            </w:pPr>
            <w:r w:rsidRPr="00C574FE">
              <w:t>(0.12)</w:t>
            </w:r>
          </w:p>
        </w:tc>
        <w:tc>
          <w:tcPr>
            <w:tcW w:w="1504" w:type="dxa"/>
            <w:shd w:val="clear" w:color="auto" w:fill="auto"/>
            <w:vAlign w:val="center"/>
          </w:tcPr>
          <w:p w14:paraId="1EE56965" w14:textId="77777777" w:rsidR="00932D4E" w:rsidRPr="00C574FE" w:rsidRDefault="00932D4E" w:rsidP="008E579B">
            <w:pPr>
              <w:spacing w:line="360" w:lineRule="auto"/>
              <w:jc w:val="center"/>
            </w:pPr>
            <w:r w:rsidRPr="00C574FE">
              <w:t>1.15</w:t>
            </w:r>
          </w:p>
          <w:p w14:paraId="6208FE8A" w14:textId="77777777" w:rsidR="00932D4E" w:rsidRPr="00C574FE" w:rsidRDefault="00932D4E" w:rsidP="008E579B">
            <w:pPr>
              <w:spacing w:line="360" w:lineRule="auto"/>
              <w:jc w:val="center"/>
            </w:pPr>
          </w:p>
        </w:tc>
        <w:tc>
          <w:tcPr>
            <w:tcW w:w="1331" w:type="dxa"/>
            <w:shd w:val="clear" w:color="auto" w:fill="auto"/>
            <w:vAlign w:val="center"/>
          </w:tcPr>
          <w:p w14:paraId="0E19CC7A" w14:textId="77777777" w:rsidR="00932D4E" w:rsidRPr="00C574FE" w:rsidRDefault="00932D4E" w:rsidP="008E579B">
            <w:pPr>
              <w:spacing w:line="360" w:lineRule="auto"/>
              <w:jc w:val="center"/>
            </w:pPr>
            <w:r w:rsidRPr="00C574FE">
              <w:t>0.62</w:t>
            </w:r>
          </w:p>
          <w:p w14:paraId="0EC61DB8" w14:textId="77777777" w:rsidR="00932D4E" w:rsidRPr="00C574FE" w:rsidRDefault="00932D4E" w:rsidP="008E579B">
            <w:pPr>
              <w:spacing w:line="360" w:lineRule="auto"/>
              <w:jc w:val="center"/>
            </w:pPr>
            <w:r w:rsidRPr="00C574FE">
              <w:t>(0.42)</w:t>
            </w:r>
          </w:p>
        </w:tc>
        <w:tc>
          <w:tcPr>
            <w:tcW w:w="959" w:type="dxa"/>
            <w:shd w:val="clear" w:color="auto" w:fill="auto"/>
            <w:vAlign w:val="center"/>
          </w:tcPr>
          <w:p w14:paraId="616ED490" w14:textId="77777777" w:rsidR="00932D4E" w:rsidRPr="00C574FE" w:rsidRDefault="00932D4E" w:rsidP="008E579B">
            <w:pPr>
              <w:spacing w:line="360" w:lineRule="auto"/>
              <w:jc w:val="center"/>
            </w:pPr>
            <w:r w:rsidRPr="00C574FE">
              <w:t>0.20</w:t>
            </w:r>
          </w:p>
          <w:p w14:paraId="73DD8568" w14:textId="77777777" w:rsidR="00932D4E" w:rsidRPr="00C574FE" w:rsidRDefault="00932D4E" w:rsidP="008E579B">
            <w:pPr>
              <w:spacing w:line="360" w:lineRule="auto"/>
              <w:jc w:val="center"/>
            </w:pPr>
          </w:p>
        </w:tc>
        <w:tc>
          <w:tcPr>
            <w:tcW w:w="1592" w:type="dxa"/>
            <w:shd w:val="clear" w:color="auto" w:fill="auto"/>
            <w:vAlign w:val="center"/>
          </w:tcPr>
          <w:p w14:paraId="1453D29B" w14:textId="77777777" w:rsidR="00932D4E" w:rsidRPr="00C574FE" w:rsidRDefault="00932D4E" w:rsidP="008E579B">
            <w:pPr>
              <w:spacing w:line="360" w:lineRule="auto"/>
              <w:jc w:val="center"/>
            </w:pPr>
            <w:r w:rsidRPr="00C574FE">
              <w:t>0.38</w:t>
            </w:r>
          </w:p>
          <w:p w14:paraId="6EC34678" w14:textId="77777777" w:rsidR="00932D4E" w:rsidRPr="00C574FE" w:rsidRDefault="00932D4E" w:rsidP="008E579B">
            <w:pPr>
              <w:spacing w:line="360" w:lineRule="auto"/>
              <w:jc w:val="center"/>
            </w:pPr>
            <w:r w:rsidRPr="00C574FE">
              <w:t>(0.52)</w:t>
            </w:r>
          </w:p>
        </w:tc>
      </w:tr>
      <w:tr w:rsidR="00932D4E" w:rsidRPr="00C574FE" w14:paraId="16B8735A" w14:textId="77777777" w:rsidTr="008E579B">
        <w:tc>
          <w:tcPr>
            <w:tcW w:w="1384" w:type="dxa"/>
            <w:shd w:val="clear" w:color="auto" w:fill="auto"/>
          </w:tcPr>
          <w:p w14:paraId="672AD168" w14:textId="77777777" w:rsidR="00932D4E" w:rsidRPr="00C574FE" w:rsidRDefault="00932D4E" w:rsidP="008E579B">
            <w:pPr>
              <w:pStyle w:val="ANPhDThesisBody"/>
              <w:spacing w:line="360" w:lineRule="auto"/>
              <w:ind w:firstLine="0"/>
              <w:rPr>
                <w:szCs w:val="24"/>
              </w:rPr>
            </w:pPr>
            <w:r w:rsidRPr="00C574FE">
              <w:rPr>
                <w:szCs w:val="24"/>
              </w:rPr>
              <w:t>≥ 40</w:t>
            </w:r>
          </w:p>
        </w:tc>
        <w:tc>
          <w:tcPr>
            <w:tcW w:w="959" w:type="dxa"/>
            <w:shd w:val="clear" w:color="auto" w:fill="auto"/>
            <w:vAlign w:val="center"/>
          </w:tcPr>
          <w:p w14:paraId="70B08202" w14:textId="77777777" w:rsidR="00932D4E" w:rsidRPr="00C574FE" w:rsidRDefault="00932D4E" w:rsidP="008E579B">
            <w:pPr>
              <w:spacing w:line="360" w:lineRule="auto"/>
              <w:jc w:val="center"/>
            </w:pPr>
            <w:r w:rsidRPr="00C574FE">
              <w:t>19.50</w:t>
            </w:r>
          </w:p>
          <w:p w14:paraId="3E7870E6" w14:textId="77777777" w:rsidR="00932D4E" w:rsidRPr="00C574FE" w:rsidRDefault="00932D4E" w:rsidP="008E579B">
            <w:pPr>
              <w:spacing w:line="360" w:lineRule="auto"/>
              <w:jc w:val="center"/>
            </w:pPr>
          </w:p>
        </w:tc>
        <w:tc>
          <w:tcPr>
            <w:tcW w:w="1451" w:type="dxa"/>
            <w:shd w:val="clear" w:color="auto" w:fill="auto"/>
            <w:vAlign w:val="center"/>
          </w:tcPr>
          <w:p w14:paraId="2D90103B" w14:textId="77777777" w:rsidR="00932D4E" w:rsidRPr="00C574FE" w:rsidRDefault="00932D4E" w:rsidP="008E579B">
            <w:pPr>
              <w:spacing w:line="360" w:lineRule="auto"/>
              <w:jc w:val="center"/>
            </w:pPr>
            <w:r w:rsidRPr="00C574FE">
              <w:t>0.67</w:t>
            </w:r>
          </w:p>
          <w:p w14:paraId="0ACB77C3" w14:textId="77777777" w:rsidR="00932D4E" w:rsidRPr="00C574FE" w:rsidRDefault="00932D4E" w:rsidP="008E579B">
            <w:pPr>
              <w:spacing w:line="360" w:lineRule="auto"/>
              <w:jc w:val="center"/>
            </w:pPr>
            <w:r w:rsidRPr="00C574FE">
              <w:t>(0.11)</w:t>
            </w:r>
          </w:p>
        </w:tc>
        <w:tc>
          <w:tcPr>
            <w:tcW w:w="1504" w:type="dxa"/>
            <w:shd w:val="clear" w:color="auto" w:fill="auto"/>
            <w:vAlign w:val="center"/>
          </w:tcPr>
          <w:p w14:paraId="3ABE1C87" w14:textId="77777777" w:rsidR="00932D4E" w:rsidRPr="00C574FE" w:rsidRDefault="00932D4E" w:rsidP="008E579B">
            <w:pPr>
              <w:spacing w:line="360" w:lineRule="auto"/>
              <w:jc w:val="center"/>
            </w:pPr>
            <w:r w:rsidRPr="00C574FE">
              <w:t>1.25</w:t>
            </w:r>
          </w:p>
          <w:p w14:paraId="2A5932B9" w14:textId="77777777" w:rsidR="00932D4E" w:rsidRPr="00C574FE" w:rsidRDefault="00932D4E" w:rsidP="008E579B">
            <w:pPr>
              <w:spacing w:line="360" w:lineRule="auto"/>
              <w:jc w:val="center"/>
            </w:pPr>
          </w:p>
        </w:tc>
        <w:tc>
          <w:tcPr>
            <w:tcW w:w="1331" w:type="dxa"/>
            <w:shd w:val="clear" w:color="auto" w:fill="auto"/>
            <w:vAlign w:val="center"/>
          </w:tcPr>
          <w:p w14:paraId="3AFBA837" w14:textId="77777777" w:rsidR="00932D4E" w:rsidRPr="00C574FE" w:rsidRDefault="00932D4E" w:rsidP="008E579B">
            <w:pPr>
              <w:spacing w:line="360" w:lineRule="auto"/>
              <w:jc w:val="center"/>
            </w:pPr>
            <w:r w:rsidRPr="00C574FE">
              <w:t>0.62</w:t>
            </w:r>
          </w:p>
          <w:p w14:paraId="63712AFB" w14:textId="77777777" w:rsidR="00932D4E" w:rsidRPr="00C574FE" w:rsidRDefault="00932D4E" w:rsidP="008E579B">
            <w:pPr>
              <w:spacing w:line="360" w:lineRule="auto"/>
              <w:jc w:val="center"/>
            </w:pPr>
            <w:r w:rsidRPr="00C574FE">
              <w:t>(0.42)</w:t>
            </w:r>
          </w:p>
        </w:tc>
        <w:tc>
          <w:tcPr>
            <w:tcW w:w="959" w:type="dxa"/>
            <w:shd w:val="clear" w:color="auto" w:fill="auto"/>
            <w:vAlign w:val="center"/>
          </w:tcPr>
          <w:p w14:paraId="078AD9B2" w14:textId="77777777" w:rsidR="00932D4E" w:rsidRPr="00C574FE" w:rsidRDefault="00932D4E" w:rsidP="008E579B">
            <w:pPr>
              <w:spacing w:line="360" w:lineRule="auto"/>
              <w:jc w:val="center"/>
            </w:pPr>
            <w:r w:rsidRPr="00C574FE">
              <w:t>0.20</w:t>
            </w:r>
          </w:p>
          <w:p w14:paraId="74CE3476" w14:textId="77777777" w:rsidR="00932D4E" w:rsidRPr="00C574FE" w:rsidRDefault="00932D4E" w:rsidP="008E579B">
            <w:pPr>
              <w:spacing w:line="360" w:lineRule="auto"/>
              <w:jc w:val="center"/>
            </w:pPr>
          </w:p>
        </w:tc>
        <w:tc>
          <w:tcPr>
            <w:tcW w:w="1592" w:type="dxa"/>
            <w:shd w:val="clear" w:color="auto" w:fill="auto"/>
            <w:vAlign w:val="center"/>
          </w:tcPr>
          <w:p w14:paraId="25BF98EA" w14:textId="77777777" w:rsidR="00932D4E" w:rsidRPr="00C574FE" w:rsidRDefault="00932D4E" w:rsidP="008E579B">
            <w:pPr>
              <w:spacing w:line="360" w:lineRule="auto"/>
              <w:jc w:val="center"/>
            </w:pPr>
            <w:r w:rsidRPr="00C574FE">
              <w:t>0.38</w:t>
            </w:r>
          </w:p>
          <w:p w14:paraId="425A2133" w14:textId="77777777" w:rsidR="00932D4E" w:rsidRPr="00C574FE" w:rsidRDefault="00932D4E" w:rsidP="008E579B">
            <w:pPr>
              <w:spacing w:line="360" w:lineRule="auto"/>
              <w:jc w:val="center"/>
            </w:pPr>
            <w:r w:rsidRPr="00C574FE">
              <w:t>(0.52)</w:t>
            </w:r>
          </w:p>
        </w:tc>
      </w:tr>
      <w:tr w:rsidR="00932D4E" w:rsidRPr="00C574FE" w14:paraId="6371DA0C" w14:textId="77777777" w:rsidTr="008E579B">
        <w:tc>
          <w:tcPr>
            <w:tcW w:w="1384" w:type="dxa"/>
            <w:shd w:val="clear" w:color="auto" w:fill="auto"/>
          </w:tcPr>
          <w:p w14:paraId="3D2E04A9" w14:textId="77777777" w:rsidR="00932D4E" w:rsidRPr="00C574FE" w:rsidRDefault="00932D4E" w:rsidP="008E579B">
            <w:pPr>
              <w:pStyle w:val="ANPhDThesisBody"/>
              <w:spacing w:line="360" w:lineRule="auto"/>
              <w:ind w:firstLine="0"/>
              <w:rPr>
                <w:szCs w:val="24"/>
              </w:rPr>
            </w:pPr>
            <w:r w:rsidRPr="00C574FE">
              <w:rPr>
                <w:szCs w:val="24"/>
              </w:rPr>
              <w:t>≥ 30</w:t>
            </w:r>
          </w:p>
        </w:tc>
        <w:tc>
          <w:tcPr>
            <w:tcW w:w="959" w:type="dxa"/>
            <w:shd w:val="clear" w:color="auto" w:fill="auto"/>
            <w:vAlign w:val="center"/>
          </w:tcPr>
          <w:p w14:paraId="29758D61" w14:textId="77777777" w:rsidR="00932D4E" w:rsidRPr="00C574FE" w:rsidRDefault="00932D4E" w:rsidP="008E579B">
            <w:pPr>
              <w:spacing w:line="360" w:lineRule="auto"/>
              <w:jc w:val="center"/>
            </w:pPr>
            <w:r w:rsidRPr="00C574FE">
              <w:t>20.45</w:t>
            </w:r>
          </w:p>
          <w:p w14:paraId="1DBD8EBE" w14:textId="77777777" w:rsidR="00932D4E" w:rsidRPr="00C574FE" w:rsidRDefault="00932D4E" w:rsidP="008E579B">
            <w:pPr>
              <w:spacing w:line="360" w:lineRule="auto"/>
              <w:jc w:val="center"/>
            </w:pPr>
          </w:p>
        </w:tc>
        <w:tc>
          <w:tcPr>
            <w:tcW w:w="1451" w:type="dxa"/>
            <w:shd w:val="clear" w:color="auto" w:fill="auto"/>
            <w:vAlign w:val="center"/>
          </w:tcPr>
          <w:p w14:paraId="0C19D3F6" w14:textId="77777777" w:rsidR="00932D4E" w:rsidRPr="00C574FE" w:rsidRDefault="00932D4E" w:rsidP="008E579B">
            <w:pPr>
              <w:spacing w:line="360" w:lineRule="auto"/>
              <w:jc w:val="center"/>
            </w:pPr>
            <w:r w:rsidRPr="00C574FE">
              <w:t>0.66</w:t>
            </w:r>
          </w:p>
          <w:p w14:paraId="55E53C0A" w14:textId="77777777" w:rsidR="00932D4E" w:rsidRPr="00C574FE" w:rsidRDefault="00932D4E" w:rsidP="008E579B">
            <w:pPr>
              <w:spacing w:line="360" w:lineRule="auto"/>
              <w:jc w:val="center"/>
            </w:pPr>
            <w:r w:rsidRPr="00C574FE">
              <w:t>(0.10)</w:t>
            </w:r>
          </w:p>
        </w:tc>
        <w:tc>
          <w:tcPr>
            <w:tcW w:w="1504" w:type="dxa"/>
            <w:shd w:val="clear" w:color="auto" w:fill="auto"/>
            <w:vAlign w:val="center"/>
          </w:tcPr>
          <w:p w14:paraId="563D23E6" w14:textId="77777777" w:rsidR="00932D4E" w:rsidRPr="00C574FE" w:rsidRDefault="00932D4E" w:rsidP="008E579B">
            <w:pPr>
              <w:spacing w:line="360" w:lineRule="auto"/>
              <w:jc w:val="center"/>
            </w:pPr>
            <w:r w:rsidRPr="00C574FE">
              <w:t>1.25</w:t>
            </w:r>
          </w:p>
          <w:p w14:paraId="02970759" w14:textId="77777777" w:rsidR="00932D4E" w:rsidRPr="00C574FE" w:rsidRDefault="00932D4E" w:rsidP="008E579B">
            <w:pPr>
              <w:spacing w:line="360" w:lineRule="auto"/>
              <w:jc w:val="center"/>
            </w:pPr>
          </w:p>
        </w:tc>
        <w:tc>
          <w:tcPr>
            <w:tcW w:w="1331" w:type="dxa"/>
            <w:shd w:val="clear" w:color="auto" w:fill="auto"/>
            <w:vAlign w:val="center"/>
          </w:tcPr>
          <w:p w14:paraId="77019E2C" w14:textId="77777777" w:rsidR="00932D4E" w:rsidRPr="00C574FE" w:rsidRDefault="00932D4E" w:rsidP="008E579B">
            <w:pPr>
              <w:spacing w:line="360" w:lineRule="auto"/>
              <w:jc w:val="center"/>
            </w:pPr>
            <w:r w:rsidRPr="00C574FE">
              <w:t>0.60</w:t>
            </w:r>
          </w:p>
          <w:p w14:paraId="141DEAB6" w14:textId="77777777" w:rsidR="00932D4E" w:rsidRPr="00C574FE" w:rsidRDefault="00932D4E" w:rsidP="008E579B">
            <w:pPr>
              <w:spacing w:line="360" w:lineRule="auto"/>
              <w:jc w:val="center"/>
            </w:pPr>
            <w:r w:rsidRPr="00C574FE">
              <w:t>(0.41)</w:t>
            </w:r>
          </w:p>
        </w:tc>
        <w:tc>
          <w:tcPr>
            <w:tcW w:w="959" w:type="dxa"/>
            <w:shd w:val="clear" w:color="auto" w:fill="auto"/>
            <w:vAlign w:val="center"/>
          </w:tcPr>
          <w:p w14:paraId="5AC201BC" w14:textId="77777777" w:rsidR="00932D4E" w:rsidRPr="00C574FE" w:rsidRDefault="00932D4E" w:rsidP="008E579B">
            <w:pPr>
              <w:spacing w:line="360" w:lineRule="auto"/>
              <w:jc w:val="center"/>
            </w:pPr>
            <w:r w:rsidRPr="00C574FE">
              <w:t>0.20</w:t>
            </w:r>
          </w:p>
          <w:p w14:paraId="5FC97D49" w14:textId="77777777" w:rsidR="00932D4E" w:rsidRPr="00C574FE" w:rsidRDefault="00932D4E" w:rsidP="008E579B">
            <w:pPr>
              <w:spacing w:line="360" w:lineRule="auto"/>
              <w:jc w:val="center"/>
            </w:pPr>
          </w:p>
        </w:tc>
        <w:tc>
          <w:tcPr>
            <w:tcW w:w="1592" w:type="dxa"/>
            <w:shd w:val="clear" w:color="auto" w:fill="auto"/>
            <w:vAlign w:val="center"/>
          </w:tcPr>
          <w:p w14:paraId="4FD83A40" w14:textId="77777777" w:rsidR="00932D4E" w:rsidRPr="00C574FE" w:rsidRDefault="00932D4E" w:rsidP="008E579B">
            <w:pPr>
              <w:spacing w:line="360" w:lineRule="auto"/>
              <w:jc w:val="center"/>
            </w:pPr>
            <w:r w:rsidRPr="00C574FE">
              <w:t>0.38</w:t>
            </w:r>
          </w:p>
          <w:p w14:paraId="353F9632" w14:textId="77777777" w:rsidR="00932D4E" w:rsidRPr="00C574FE" w:rsidRDefault="00932D4E" w:rsidP="008E579B">
            <w:pPr>
              <w:spacing w:line="360" w:lineRule="auto"/>
              <w:jc w:val="center"/>
            </w:pPr>
            <w:r w:rsidRPr="00C574FE">
              <w:t>(0.52)</w:t>
            </w:r>
          </w:p>
        </w:tc>
      </w:tr>
      <w:tr w:rsidR="00932D4E" w:rsidRPr="00C574FE" w14:paraId="0604925C" w14:textId="77777777" w:rsidTr="008E579B">
        <w:tc>
          <w:tcPr>
            <w:tcW w:w="1384" w:type="dxa"/>
            <w:shd w:val="clear" w:color="auto" w:fill="auto"/>
          </w:tcPr>
          <w:p w14:paraId="21C6EF0E" w14:textId="77777777" w:rsidR="00932D4E" w:rsidRPr="00C574FE" w:rsidRDefault="00932D4E" w:rsidP="008E579B">
            <w:pPr>
              <w:pStyle w:val="ANPhDThesisBody"/>
              <w:spacing w:line="360" w:lineRule="auto"/>
              <w:ind w:firstLine="0"/>
              <w:rPr>
                <w:szCs w:val="24"/>
              </w:rPr>
            </w:pPr>
            <w:r w:rsidRPr="00C574FE">
              <w:rPr>
                <w:szCs w:val="24"/>
              </w:rPr>
              <w:t>≥ 20</w:t>
            </w:r>
          </w:p>
        </w:tc>
        <w:tc>
          <w:tcPr>
            <w:tcW w:w="959" w:type="dxa"/>
            <w:shd w:val="clear" w:color="auto" w:fill="auto"/>
            <w:vAlign w:val="center"/>
          </w:tcPr>
          <w:p w14:paraId="67CDA6C1" w14:textId="77777777" w:rsidR="00932D4E" w:rsidRPr="00C574FE" w:rsidRDefault="00932D4E" w:rsidP="008E579B">
            <w:pPr>
              <w:spacing w:line="360" w:lineRule="auto"/>
              <w:jc w:val="center"/>
            </w:pPr>
            <w:r w:rsidRPr="00C574FE">
              <w:t>21.45</w:t>
            </w:r>
          </w:p>
          <w:p w14:paraId="57831C91" w14:textId="77777777" w:rsidR="00932D4E" w:rsidRPr="00C574FE" w:rsidRDefault="00932D4E" w:rsidP="008E579B">
            <w:pPr>
              <w:spacing w:line="360" w:lineRule="auto"/>
              <w:jc w:val="center"/>
            </w:pPr>
          </w:p>
        </w:tc>
        <w:tc>
          <w:tcPr>
            <w:tcW w:w="1451" w:type="dxa"/>
            <w:shd w:val="clear" w:color="auto" w:fill="auto"/>
            <w:vAlign w:val="center"/>
          </w:tcPr>
          <w:p w14:paraId="5BEBDA70" w14:textId="77777777" w:rsidR="00932D4E" w:rsidRPr="00C574FE" w:rsidRDefault="00932D4E" w:rsidP="008E579B">
            <w:pPr>
              <w:spacing w:line="360" w:lineRule="auto"/>
              <w:jc w:val="center"/>
            </w:pPr>
            <w:r w:rsidRPr="00C574FE">
              <w:t>0.65</w:t>
            </w:r>
          </w:p>
          <w:p w14:paraId="0227ECE2" w14:textId="77777777" w:rsidR="00932D4E" w:rsidRPr="00C574FE" w:rsidRDefault="00932D4E" w:rsidP="008E579B">
            <w:pPr>
              <w:spacing w:line="360" w:lineRule="auto"/>
              <w:jc w:val="center"/>
            </w:pPr>
            <w:r w:rsidRPr="00C574FE">
              <w:t>(0.10)</w:t>
            </w:r>
          </w:p>
        </w:tc>
        <w:tc>
          <w:tcPr>
            <w:tcW w:w="1504" w:type="dxa"/>
            <w:shd w:val="clear" w:color="auto" w:fill="auto"/>
            <w:vAlign w:val="center"/>
          </w:tcPr>
          <w:p w14:paraId="50B746AF" w14:textId="77777777" w:rsidR="00932D4E" w:rsidRPr="00C574FE" w:rsidRDefault="00932D4E" w:rsidP="008E579B">
            <w:pPr>
              <w:spacing w:line="360" w:lineRule="auto"/>
              <w:jc w:val="center"/>
            </w:pPr>
            <w:r w:rsidRPr="00C574FE">
              <w:t>1.25</w:t>
            </w:r>
          </w:p>
          <w:p w14:paraId="221F8457" w14:textId="77777777" w:rsidR="00932D4E" w:rsidRPr="00C574FE" w:rsidRDefault="00932D4E" w:rsidP="008E579B">
            <w:pPr>
              <w:spacing w:line="360" w:lineRule="auto"/>
              <w:jc w:val="center"/>
            </w:pPr>
          </w:p>
        </w:tc>
        <w:tc>
          <w:tcPr>
            <w:tcW w:w="1331" w:type="dxa"/>
            <w:shd w:val="clear" w:color="auto" w:fill="auto"/>
            <w:vAlign w:val="center"/>
          </w:tcPr>
          <w:p w14:paraId="2E24C324" w14:textId="77777777" w:rsidR="00932D4E" w:rsidRPr="00C574FE" w:rsidRDefault="00932D4E" w:rsidP="008E579B">
            <w:pPr>
              <w:spacing w:line="360" w:lineRule="auto"/>
              <w:jc w:val="center"/>
            </w:pPr>
            <w:r w:rsidRPr="00C574FE">
              <w:t>0.60</w:t>
            </w:r>
          </w:p>
          <w:p w14:paraId="535F0522" w14:textId="77777777" w:rsidR="00932D4E" w:rsidRPr="00C574FE" w:rsidRDefault="00932D4E" w:rsidP="008E579B">
            <w:pPr>
              <w:spacing w:line="360" w:lineRule="auto"/>
              <w:jc w:val="center"/>
            </w:pPr>
            <w:r w:rsidRPr="00C574FE">
              <w:t>(0.41)</w:t>
            </w:r>
          </w:p>
        </w:tc>
        <w:tc>
          <w:tcPr>
            <w:tcW w:w="959" w:type="dxa"/>
            <w:shd w:val="clear" w:color="auto" w:fill="auto"/>
            <w:vAlign w:val="center"/>
          </w:tcPr>
          <w:p w14:paraId="7F54C702" w14:textId="77777777" w:rsidR="00932D4E" w:rsidRPr="00C574FE" w:rsidRDefault="00932D4E" w:rsidP="008E579B">
            <w:pPr>
              <w:spacing w:line="360" w:lineRule="auto"/>
              <w:jc w:val="center"/>
            </w:pPr>
            <w:r w:rsidRPr="00C574FE">
              <w:t>0.20</w:t>
            </w:r>
          </w:p>
          <w:p w14:paraId="726399E0" w14:textId="77777777" w:rsidR="00932D4E" w:rsidRPr="00C574FE" w:rsidRDefault="00932D4E" w:rsidP="008E579B">
            <w:pPr>
              <w:spacing w:line="360" w:lineRule="auto"/>
              <w:jc w:val="center"/>
            </w:pPr>
          </w:p>
        </w:tc>
        <w:tc>
          <w:tcPr>
            <w:tcW w:w="1592" w:type="dxa"/>
            <w:shd w:val="clear" w:color="auto" w:fill="auto"/>
            <w:vAlign w:val="center"/>
          </w:tcPr>
          <w:p w14:paraId="721313D8" w14:textId="77777777" w:rsidR="00932D4E" w:rsidRPr="00C574FE" w:rsidRDefault="00932D4E" w:rsidP="008E579B">
            <w:pPr>
              <w:spacing w:line="360" w:lineRule="auto"/>
              <w:jc w:val="center"/>
            </w:pPr>
            <w:r w:rsidRPr="00C574FE">
              <w:t>0.38</w:t>
            </w:r>
          </w:p>
          <w:p w14:paraId="60ED2DD8" w14:textId="77777777" w:rsidR="00932D4E" w:rsidRPr="00C574FE" w:rsidRDefault="00932D4E" w:rsidP="008E579B">
            <w:pPr>
              <w:spacing w:line="360" w:lineRule="auto"/>
              <w:jc w:val="center"/>
            </w:pPr>
            <w:r w:rsidRPr="00C574FE">
              <w:t>(0.52)</w:t>
            </w:r>
          </w:p>
        </w:tc>
      </w:tr>
      <w:tr w:rsidR="00932D4E" w:rsidRPr="00C574FE" w14:paraId="19B29B6C" w14:textId="77777777" w:rsidTr="008E579B">
        <w:tc>
          <w:tcPr>
            <w:tcW w:w="1384" w:type="dxa"/>
            <w:shd w:val="clear" w:color="auto" w:fill="auto"/>
          </w:tcPr>
          <w:p w14:paraId="786F938F" w14:textId="77777777" w:rsidR="00932D4E" w:rsidRPr="00C574FE" w:rsidRDefault="00932D4E" w:rsidP="008E579B">
            <w:pPr>
              <w:pStyle w:val="ANPhDThesisBody"/>
              <w:spacing w:line="360" w:lineRule="auto"/>
              <w:ind w:firstLine="0"/>
              <w:rPr>
                <w:szCs w:val="24"/>
              </w:rPr>
            </w:pPr>
            <w:r w:rsidRPr="00C574FE">
              <w:rPr>
                <w:szCs w:val="24"/>
              </w:rPr>
              <w:t>≥ 10</w:t>
            </w:r>
          </w:p>
        </w:tc>
        <w:tc>
          <w:tcPr>
            <w:tcW w:w="959" w:type="dxa"/>
            <w:shd w:val="clear" w:color="auto" w:fill="auto"/>
            <w:vAlign w:val="center"/>
          </w:tcPr>
          <w:p w14:paraId="6B7CC15E" w14:textId="77777777" w:rsidR="00932D4E" w:rsidRPr="00C574FE" w:rsidRDefault="00932D4E" w:rsidP="008E579B">
            <w:pPr>
              <w:spacing w:line="360" w:lineRule="auto"/>
              <w:jc w:val="center"/>
            </w:pPr>
            <w:r w:rsidRPr="00C574FE">
              <w:t>22.65</w:t>
            </w:r>
          </w:p>
          <w:p w14:paraId="2C132D0F" w14:textId="77777777" w:rsidR="00932D4E" w:rsidRPr="00C574FE" w:rsidRDefault="00932D4E" w:rsidP="008E579B">
            <w:pPr>
              <w:spacing w:line="360" w:lineRule="auto"/>
              <w:jc w:val="center"/>
            </w:pPr>
          </w:p>
        </w:tc>
        <w:tc>
          <w:tcPr>
            <w:tcW w:w="1451" w:type="dxa"/>
            <w:shd w:val="clear" w:color="auto" w:fill="auto"/>
            <w:vAlign w:val="center"/>
          </w:tcPr>
          <w:p w14:paraId="76B4604D" w14:textId="77777777" w:rsidR="00932D4E" w:rsidRPr="00C574FE" w:rsidRDefault="00932D4E" w:rsidP="008E579B">
            <w:pPr>
              <w:spacing w:line="360" w:lineRule="auto"/>
              <w:jc w:val="center"/>
            </w:pPr>
            <w:r w:rsidRPr="00C574FE">
              <w:t>0.64</w:t>
            </w:r>
          </w:p>
          <w:p w14:paraId="00DF7199" w14:textId="77777777" w:rsidR="00932D4E" w:rsidRPr="00C574FE" w:rsidRDefault="00932D4E" w:rsidP="008E579B">
            <w:pPr>
              <w:spacing w:line="360" w:lineRule="auto"/>
              <w:jc w:val="center"/>
            </w:pPr>
            <w:r w:rsidRPr="00C574FE">
              <w:t>(0.10)</w:t>
            </w:r>
          </w:p>
        </w:tc>
        <w:tc>
          <w:tcPr>
            <w:tcW w:w="1504" w:type="dxa"/>
            <w:shd w:val="clear" w:color="auto" w:fill="auto"/>
            <w:vAlign w:val="center"/>
          </w:tcPr>
          <w:p w14:paraId="1715A55E" w14:textId="77777777" w:rsidR="00932D4E" w:rsidRPr="00C574FE" w:rsidRDefault="00932D4E" w:rsidP="008E579B">
            <w:pPr>
              <w:spacing w:line="360" w:lineRule="auto"/>
              <w:jc w:val="center"/>
            </w:pPr>
            <w:r w:rsidRPr="00C574FE">
              <w:t>1.25</w:t>
            </w:r>
          </w:p>
          <w:p w14:paraId="3475D620" w14:textId="77777777" w:rsidR="00932D4E" w:rsidRPr="00C574FE" w:rsidRDefault="00932D4E" w:rsidP="008E579B">
            <w:pPr>
              <w:spacing w:line="360" w:lineRule="auto"/>
              <w:jc w:val="center"/>
            </w:pPr>
          </w:p>
        </w:tc>
        <w:tc>
          <w:tcPr>
            <w:tcW w:w="1331" w:type="dxa"/>
            <w:shd w:val="clear" w:color="auto" w:fill="auto"/>
            <w:vAlign w:val="center"/>
          </w:tcPr>
          <w:p w14:paraId="27A459D6" w14:textId="77777777" w:rsidR="00932D4E" w:rsidRPr="00C574FE" w:rsidRDefault="00932D4E" w:rsidP="008E579B">
            <w:pPr>
              <w:spacing w:line="360" w:lineRule="auto"/>
              <w:jc w:val="center"/>
            </w:pPr>
            <w:r w:rsidRPr="00C574FE">
              <w:t>0.60</w:t>
            </w:r>
          </w:p>
          <w:p w14:paraId="67173E85" w14:textId="77777777" w:rsidR="00932D4E" w:rsidRPr="00C574FE" w:rsidRDefault="00932D4E" w:rsidP="008E579B">
            <w:pPr>
              <w:spacing w:line="360" w:lineRule="auto"/>
              <w:jc w:val="center"/>
            </w:pPr>
            <w:r w:rsidRPr="00C574FE">
              <w:t>(0.41)</w:t>
            </w:r>
          </w:p>
        </w:tc>
        <w:tc>
          <w:tcPr>
            <w:tcW w:w="959" w:type="dxa"/>
            <w:shd w:val="clear" w:color="auto" w:fill="auto"/>
            <w:vAlign w:val="center"/>
          </w:tcPr>
          <w:p w14:paraId="01C6595D" w14:textId="77777777" w:rsidR="00932D4E" w:rsidRPr="00C574FE" w:rsidRDefault="00932D4E" w:rsidP="008E579B">
            <w:pPr>
              <w:spacing w:line="360" w:lineRule="auto"/>
              <w:jc w:val="center"/>
            </w:pPr>
            <w:r w:rsidRPr="00C574FE">
              <w:t>0.20</w:t>
            </w:r>
          </w:p>
          <w:p w14:paraId="315EE2E8" w14:textId="77777777" w:rsidR="00932D4E" w:rsidRPr="00C574FE" w:rsidRDefault="00932D4E" w:rsidP="008E579B">
            <w:pPr>
              <w:spacing w:line="360" w:lineRule="auto"/>
              <w:jc w:val="center"/>
            </w:pPr>
          </w:p>
        </w:tc>
        <w:tc>
          <w:tcPr>
            <w:tcW w:w="1592" w:type="dxa"/>
            <w:shd w:val="clear" w:color="auto" w:fill="auto"/>
            <w:vAlign w:val="center"/>
          </w:tcPr>
          <w:p w14:paraId="2033B8E0" w14:textId="77777777" w:rsidR="00932D4E" w:rsidRPr="00C574FE" w:rsidRDefault="00932D4E" w:rsidP="008E579B">
            <w:pPr>
              <w:spacing w:line="360" w:lineRule="auto"/>
              <w:jc w:val="center"/>
            </w:pPr>
            <w:r w:rsidRPr="00C574FE">
              <w:t>0.38</w:t>
            </w:r>
          </w:p>
          <w:p w14:paraId="7B4824A4" w14:textId="77777777" w:rsidR="00932D4E" w:rsidRPr="00C574FE" w:rsidRDefault="00932D4E" w:rsidP="008E579B">
            <w:pPr>
              <w:spacing w:line="360" w:lineRule="auto"/>
              <w:jc w:val="center"/>
            </w:pPr>
            <w:r w:rsidRPr="00C574FE">
              <w:t>(0.52)</w:t>
            </w:r>
          </w:p>
        </w:tc>
      </w:tr>
      <w:tr w:rsidR="00932D4E" w:rsidRPr="00C574FE" w14:paraId="7AB5A3BC" w14:textId="77777777" w:rsidTr="008E579B">
        <w:tc>
          <w:tcPr>
            <w:tcW w:w="1384" w:type="dxa"/>
            <w:tcBorders>
              <w:bottom w:val="single" w:sz="4" w:space="0" w:color="auto"/>
            </w:tcBorders>
            <w:shd w:val="clear" w:color="auto" w:fill="auto"/>
          </w:tcPr>
          <w:p w14:paraId="74012AD0" w14:textId="77777777" w:rsidR="00932D4E" w:rsidRPr="00C574FE" w:rsidRDefault="00932D4E" w:rsidP="008E579B">
            <w:pPr>
              <w:pStyle w:val="ANPhDThesisBody"/>
              <w:spacing w:line="360" w:lineRule="auto"/>
              <w:ind w:firstLine="0"/>
              <w:rPr>
                <w:szCs w:val="24"/>
              </w:rPr>
            </w:pPr>
            <w:r w:rsidRPr="00C574FE">
              <w:rPr>
                <w:szCs w:val="24"/>
              </w:rPr>
              <w:t>≥ 0</w:t>
            </w:r>
          </w:p>
        </w:tc>
        <w:tc>
          <w:tcPr>
            <w:tcW w:w="959" w:type="dxa"/>
            <w:tcBorders>
              <w:bottom w:val="single" w:sz="4" w:space="0" w:color="auto"/>
            </w:tcBorders>
            <w:shd w:val="clear" w:color="auto" w:fill="auto"/>
            <w:vAlign w:val="center"/>
          </w:tcPr>
          <w:p w14:paraId="6BD470AF" w14:textId="77777777" w:rsidR="00932D4E" w:rsidRPr="00C574FE" w:rsidRDefault="00932D4E" w:rsidP="008E579B">
            <w:pPr>
              <w:spacing w:line="360" w:lineRule="auto"/>
              <w:jc w:val="center"/>
            </w:pPr>
            <w:r w:rsidRPr="00C574FE">
              <w:t>23.75</w:t>
            </w:r>
          </w:p>
          <w:p w14:paraId="4FF3E4FB" w14:textId="77777777" w:rsidR="00932D4E" w:rsidRPr="00C574FE" w:rsidRDefault="00932D4E" w:rsidP="008E579B">
            <w:pPr>
              <w:spacing w:line="360" w:lineRule="auto"/>
              <w:jc w:val="center"/>
            </w:pPr>
          </w:p>
        </w:tc>
        <w:tc>
          <w:tcPr>
            <w:tcW w:w="1451" w:type="dxa"/>
            <w:tcBorders>
              <w:bottom w:val="single" w:sz="4" w:space="0" w:color="auto"/>
            </w:tcBorders>
            <w:shd w:val="clear" w:color="auto" w:fill="auto"/>
            <w:vAlign w:val="center"/>
          </w:tcPr>
          <w:p w14:paraId="5AA45151" w14:textId="77777777" w:rsidR="00932D4E" w:rsidRPr="00C574FE" w:rsidRDefault="00932D4E" w:rsidP="008E579B">
            <w:pPr>
              <w:spacing w:line="360" w:lineRule="auto"/>
              <w:jc w:val="center"/>
            </w:pPr>
            <w:r w:rsidRPr="00C574FE">
              <w:t>0.64</w:t>
            </w:r>
          </w:p>
          <w:p w14:paraId="6CD06BFC" w14:textId="77777777" w:rsidR="00932D4E" w:rsidRPr="00C574FE" w:rsidRDefault="00932D4E" w:rsidP="008E579B">
            <w:pPr>
              <w:spacing w:line="360" w:lineRule="auto"/>
              <w:jc w:val="center"/>
            </w:pPr>
            <w:r w:rsidRPr="00C574FE">
              <w:t>(0.10)</w:t>
            </w:r>
          </w:p>
        </w:tc>
        <w:tc>
          <w:tcPr>
            <w:tcW w:w="1504" w:type="dxa"/>
            <w:tcBorders>
              <w:bottom w:val="single" w:sz="4" w:space="0" w:color="auto"/>
            </w:tcBorders>
            <w:shd w:val="clear" w:color="auto" w:fill="auto"/>
            <w:vAlign w:val="center"/>
          </w:tcPr>
          <w:p w14:paraId="12CBA167" w14:textId="77777777" w:rsidR="00932D4E" w:rsidRPr="00C574FE" w:rsidRDefault="00932D4E" w:rsidP="008E579B">
            <w:pPr>
              <w:spacing w:line="360" w:lineRule="auto"/>
              <w:jc w:val="center"/>
            </w:pPr>
            <w:r w:rsidRPr="00C574FE">
              <w:t>1.25</w:t>
            </w:r>
          </w:p>
          <w:p w14:paraId="28FBB3D4" w14:textId="77777777" w:rsidR="00932D4E" w:rsidRPr="00C574FE" w:rsidRDefault="00932D4E" w:rsidP="008E579B">
            <w:pPr>
              <w:spacing w:line="360" w:lineRule="auto"/>
              <w:jc w:val="center"/>
            </w:pPr>
          </w:p>
        </w:tc>
        <w:tc>
          <w:tcPr>
            <w:tcW w:w="1331" w:type="dxa"/>
            <w:tcBorders>
              <w:bottom w:val="single" w:sz="4" w:space="0" w:color="auto"/>
            </w:tcBorders>
            <w:shd w:val="clear" w:color="auto" w:fill="auto"/>
            <w:vAlign w:val="center"/>
          </w:tcPr>
          <w:p w14:paraId="5B2E8376" w14:textId="77777777" w:rsidR="00932D4E" w:rsidRPr="00C574FE" w:rsidRDefault="00932D4E" w:rsidP="008E579B">
            <w:pPr>
              <w:spacing w:line="360" w:lineRule="auto"/>
              <w:jc w:val="center"/>
            </w:pPr>
            <w:r w:rsidRPr="00C574FE">
              <w:t>0.60</w:t>
            </w:r>
          </w:p>
          <w:p w14:paraId="22762F98" w14:textId="77777777" w:rsidR="00932D4E" w:rsidRPr="00C574FE" w:rsidRDefault="00932D4E" w:rsidP="008E579B">
            <w:pPr>
              <w:spacing w:line="360" w:lineRule="auto"/>
              <w:jc w:val="center"/>
            </w:pPr>
            <w:r w:rsidRPr="00C574FE">
              <w:t>(0.41)</w:t>
            </w:r>
          </w:p>
        </w:tc>
        <w:tc>
          <w:tcPr>
            <w:tcW w:w="959" w:type="dxa"/>
            <w:tcBorders>
              <w:bottom w:val="single" w:sz="4" w:space="0" w:color="auto"/>
            </w:tcBorders>
            <w:shd w:val="clear" w:color="auto" w:fill="auto"/>
            <w:vAlign w:val="center"/>
          </w:tcPr>
          <w:p w14:paraId="2B0C9903" w14:textId="77777777" w:rsidR="00932D4E" w:rsidRPr="00C574FE" w:rsidRDefault="00932D4E" w:rsidP="008E579B">
            <w:pPr>
              <w:spacing w:line="360" w:lineRule="auto"/>
              <w:jc w:val="center"/>
            </w:pPr>
            <w:r w:rsidRPr="00C574FE">
              <w:t>0.20</w:t>
            </w:r>
          </w:p>
          <w:p w14:paraId="1D56C3CF" w14:textId="77777777" w:rsidR="00932D4E" w:rsidRPr="00C574FE" w:rsidRDefault="00932D4E" w:rsidP="008E579B">
            <w:pPr>
              <w:spacing w:line="360" w:lineRule="auto"/>
              <w:jc w:val="center"/>
            </w:pPr>
          </w:p>
        </w:tc>
        <w:tc>
          <w:tcPr>
            <w:tcW w:w="1592" w:type="dxa"/>
            <w:tcBorders>
              <w:bottom w:val="single" w:sz="4" w:space="0" w:color="auto"/>
            </w:tcBorders>
            <w:shd w:val="clear" w:color="auto" w:fill="auto"/>
            <w:vAlign w:val="center"/>
          </w:tcPr>
          <w:p w14:paraId="24A2AD20" w14:textId="77777777" w:rsidR="00932D4E" w:rsidRPr="00C574FE" w:rsidRDefault="00932D4E" w:rsidP="008E579B">
            <w:pPr>
              <w:spacing w:line="360" w:lineRule="auto"/>
              <w:jc w:val="center"/>
            </w:pPr>
            <w:r w:rsidRPr="00C574FE">
              <w:t>0.38</w:t>
            </w:r>
          </w:p>
          <w:p w14:paraId="0FD85EB3" w14:textId="77777777" w:rsidR="00932D4E" w:rsidRPr="00C574FE" w:rsidRDefault="00932D4E" w:rsidP="008E579B">
            <w:pPr>
              <w:spacing w:line="360" w:lineRule="auto"/>
              <w:jc w:val="center"/>
            </w:pPr>
            <w:r w:rsidRPr="00C574FE">
              <w:t>(0.52)</w:t>
            </w:r>
          </w:p>
        </w:tc>
      </w:tr>
    </w:tbl>
    <w:p w14:paraId="255751AB" w14:textId="77777777" w:rsidR="00932D4E" w:rsidRPr="00C574FE" w:rsidRDefault="00932D4E" w:rsidP="00932D4E"/>
    <w:p w14:paraId="21E4D607" w14:textId="459FDB3E" w:rsidR="00932D4E" w:rsidRPr="00C574FE" w:rsidRDefault="00932D4E" w:rsidP="00932D4E">
      <w:r w:rsidRPr="00C574FE">
        <w:t>N</w:t>
      </w:r>
      <w:r w:rsidRPr="00C574FE">
        <w:rPr>
          <w:vertAlign w:val="subscript"/>
        </w:rPr>
        <w:t>A</w:t>
      </w:r>
      <w:r w:rsidRPr="00C574FE">
        <w:t xml:space="preserve"> = Number accurate (Mean), P</w:t>
      </w:r>
      <w:r w:rsidRPr="00C574FE">
        <w:rPr>
          <w:vertAlign w:val="subscript"/>
        </w:rPr>
        <w:t>A</w:t>
      </w:r>
      <w:r w:rsidRPr="00C574FE">
        <w:t xml:space="preserve"> = Proportion accurate (Mean and SD)</w:t>
      </w:r>
    </w:p>
    <w:p w14:paraId="20AAAF78" w14:textId="07A32913" w:rsidR="00D147E0" w:rsidRPr="00C574FE" w:rsidRDefault="00D147E0">
      <w:pPr>
        <w:tabs>
          <w:tab w:val="clear" w:pos="8640"/>
        </w:tabs>
        <w:spacing w:line="240" w:lineRule="auto"/>
      </w:pPr>
      <w:r w:rsidRPr="00C574FE">
        <w:br w:type="page"/>
      </w:r>
    </w:p>
    <w:p w14:paraId="04DD07FF" w14:textId="77777777" w:rsidR="00D147E0" w:rsidRPr="00C574FE" w:rsidRDefault="00D147E0" w:rsidP="00D147E0">
      <w:pPr>
        <w:spacing w:line="240" w:lineRule="auto"/>
      </w:pPr>
    </w:p>
    <w:p w14:paraId="2E88618F" w14:textId="57B442D4" w:rsidR="00D147E0" w:rsidRPr="00C574FE" w:rsidRDefault="00D147E0" w:rsidP="00D147E0">
      <w:pPr>
        <w:spacing w:line="240" w:lineRule="auto"/>
      </w:pPr>
      <w:r w:rsidRPr="00C574FE">
        <w:rPr>
          <w:i/>
        </w:rPr>
        <w:t>Figure 1</w:t>
      </w:r>
      <w:r w:rsidRPr="00C574FE">
        <w:t>.  Key elements of the different interview</w:t>
      </w:r>
      <w:r w:rsidR="005B7065" w:rsidRPr="00C574FE">
        <w:t xml:space="preserve"> report modes and formats </w:t>
      </w:r>
      <w:r w:rsidRPr="00C574FE">
        <w:t>used in Experiments 1-3.</w:t>
      </w:r>
    </w:p>
    <w:p w14:paraId="41136CF6" w14:textId="77777777" w:rsidR="00D147E0" w:rsidRPr="00C574FE" w:rsidRDefault="00D147E0" w:rsidP="00D147E0">
      <w:pPr>
        <w:spacing w:line="240" w:lineRule="auto"/>
      </w:pPr>
    </w:p>
    <w:p w14:paraId="298FFE6D" w14:textId="137F7267" w:rsidR="005B7065" w:rsidRPr="00C574FE" w:rsidRDefault="005B7065" w:rsidP="005B7065">
      <w:pPr>
        <w:spacing w:line="240" w:lineRule="auto"/>
        <w:jc w:val="center"/>
      </w:pPr>
      <w:r w:rsidRPr="00C574FE">
        <w:rPr>
          <w:b/>
        </w:rPr>
        <w:t>Interview Report Mode</w:t>
      </w:r>
    </w:p>
    <w:p w14:paraId="14205440" w14:textId="77777777" w:rsidR="005B7065" w:rsidRPr="00C574FE" w:rsidRDefault="005B7065" w:rsidP="005B7065">
      <w:pPr>
        <w:spacing w:line="240" w:lineRule="auto"/>
        <w:jc w:val="center"/>
      </w:pPr>
    </w:p>
    <w:p w14:paraId="49EEC1F7" w14:textId="77777777" w:rsidR="005B7065" w:rsidRPr="00C574FE" w:rsidRDefault="005B7065" w:rsidP="005B7065">
      <w:pPr>
        <w:spacing w:line="240" w:lineRule="auto"/>
        <w:ind w:left="284"/>
        <w:rPr>
          <w:b/>
        </w:rPr>
      </w:pPr>
      <w:r w:rsidRPr="00C574FE">
        <w:rPr>
          <w:b/>
        </w:rPr>
        <w:t>Experiment 1:</w:t>
      </w:r>
    </w:p>
    <w:p w14:paraId="12CB0D0C" w14:textId="77777777" w:rsidR="005B7065" w:rsidRPr="00C574FE" w:rsidRDefault="005B7065" w:rsidP="005B7065">
      <w:pPr>
        <w:spacing w:line="240" w:lineRule="auto"/>
        <w:ind w:left="284"/>
      </w:pPr>
    </w:p>
    <w:p w14:paraId="374CCBA8" w14:textId="12C7B72E" w:rsidR="005B7065" w:rsidRPr="00C574FE" w:rsidRDefault="005B7065" w:rsidP="005B7065">
      <w:pPr>
        <w:pStyle w:val="ListParagraph"/>
        <w:numPr>
          <w:ilvl w:val="0"/>
          <w:numId w:val="11"/>
        </w:numPr>
        <w:spacing w:line="240" w:lineRule="auto"/>
        <w:ind w:left="709" w:hanging="425"/>
      </w:pPr>
      <w:r w:rsidRPr="00C574FE">
        <w:t>Written report</w:t>
      </w:r>
    </w:p>
    <w:p w14:paraId="182DAC8C" w14:textId="77777777" w:rsidR="005B7065" w:rsidRPr="00C574FE" w:rsidRDefault="005B7065" w:rsidP="005B7065">
      <w:pPr>
        <w:spacing w:line="240" w:lineRule="auto"/>
        <w:ind w:left="284"/>
      </w:pPr>
    </w:p>
    <w:p w14:paraId="436F44D8" w14:textId="77777777" w:rsidR="005B7065" w:rsidRPr="00C574FE" w:rsidRDefault="005B7065" w:rsidP="005B7065">
      <w:pPr>
        <w:spacing w:line="240" w:lineRule="auto"/>
        <w:ind w:left="284"/>
        <w:rPr>
          <w:b/>
        </w:rPr>
      </w:pPr>
      <w:r w:rsidRPr="00C574FE">
        <w:rPr>
          <w:b/>
        </w:rPr>
        <w:t>Experiment 2:</w:t>
      </w:r>
    </w:p>
    <w:p w14:paraId="492D6493" w14:textId="77777777" w:rsidR="005B7065" w:rsidRPr="00C574FE" w:rsidRDefault="005B7065" w:rsidP="005B7065">
      <w:pPr>
        <w:spacing w:line="240" w:lineRule="auto"/>
        <w:ind w:left="284"/>
      </w:pPr>
    </w:p>
    <w:p w14:paraId="2B413966" w14:textId="6D8602FC" w:rsidR="005B7065" w:rsidRPr="00C574FE" w:rsidRDefault="005B7065" w:rsidP="005B7065">
      <w:pPr>
        <w:pStyle w:val="ListParagraph"/>
        <w:numPr>
          <w:ilvl w:val="0"/>
          <w:numId w:val="11"/>
        </w:numPr>
        <w:spacing w:line="240" w:lineRule="auto"/>
        <w:ind w:left="709" w:hanging="425"/>
      </w:pPr>
      <w:r w:rsidRPr="00C574FE">
        <w:t>Verbal report</w:t>
      </w:r>
    </w:p>
    <w:p w14:paraId="0043BCEC" w14:textId="77777777" w:rsidR="005B7065" w:rsidRPr="00C574FE" w:rsidRDefault="005B7065" w:rsidP="005B7065">
      <w:pPr>
        <w:spacing w:line="240" w:lineRule="auto"/>
        <w:ind w:left="284"/>
      </w:pPr>
    </w:p>
    <w:p w14:paraId="4D0C1C78" w14:textId="77777777" w:rsidR="005B7065" w:rsidRPr="00C574FE" w:rsidRDefault="005B7065" w:rsidP="005B7065">
      <w:pPr>
        <w:spacing w:line="240" w:lineRule="auto"/>
        <w:ind w:left="284"/>
        <w:rPr>
          <w:b/>
        </w:rPr>
      </w:pPr>
      <w:r w:rsidRPr="00C574FE">
        <w:rPr>
          <w:b/>
        </w:rPr>
        <w:t>Experiment 3:</w:t>
      </w:r>
    </w:p>
    <w:p w14:paraId="1128162D" w14:textId="77777777" w:rsidR="005B7065" w:rsidRPr="00C574FE" w:rsidRDefault="005B7065" w:rsidP="005B7065">
      <w:pPr>
        <w:spacing w:line="240" w:lineRule="auto"/>
        <w:ind w:left="284"/>
      </w:pPr>
    </w:p>
    <w:p w14:paraId="41B36C6C" w14:textId="5D0E8599" w:rsidR="005B7065" w:rsidRPr="00C574FE" w:rsidRDefault="005B7065" w:rsidP="005B7065">
      <w:pPr>
        <w:pStyle w:val="ListParagraph"/>
        <w:numPr>
          <w:ilvl w:val="0"/>
          <w:numId w:val="11"/>
        </w:numPr>
        <w:spacing w:line="240" w:lineRule="auto"/>
        <w:ind w:left="709" w:hanging="425"/>
      </w:pPr>
      <w:r w:rsidRPr="00C574FE">
        <w:t>Written report</w:t>
      </w:r>
    </w:p>
    <w:p w14:paraId="1B53380A" w14:textId="77777777" w:rsidR="005B7065" w:rsidRPr="00C574FE" w:rsidRDefault="005B7065" w:rsidP="005B7065"/>
    <w:p w14:paraId="606F683E" w14:textId="77777777" w:rsidR="00D147E0" w:rsidRPr="00C574FE" w:rsidRDefault="00D147E0" w:rsidP="00D147E0">
      <w:pPr>
        <w:spacing w:line="240" w:lineRule="auto"/>
        <w:jc w:val="center"/>
        <w:rPr>
          <w:b/>
        </w:rPr>
      </w:pPr>
      <w:r w:rsidRPr="00C574FE">
        <w:rPr>
          <w:b/>
        </w:rPr>
        <w:t>Interview Conditions</w:t>
      </w:r>
    </w:p>
    <w:p w14:paraId="2CFF0311" w14:textId="77777777" w:rsidR="00D147E0" w:rsidRPr="00C574FE" w:rsidRDefault="00D147E0" w:rsidP="00D147E0">
      <w:pPr>
        <w:spacing w:line="240" w:lineRule="auto"/>
      </w:pPr>
    </w:p>
    <w:p w14:paraId="4E257645" w14:textId="0CC1E92D" w:rsidR="00D147E0" w:rsidRPr="00C574FE" w:rsidRDefault="00D147E0" w:rsidP="00D147E0">
      <w:pPr>
        <w:spacing w:line="240" w:lineRule="auto"/>
        <w:ind w:left="284"/>
        <w:rPr>
          <w:b/>
        </w:rPr>
      </w:pPr>
      <w:r w:rsidRPr="00C574FE">
        <w:rPr>
          <w:b/>
        </w:rPr>
        <w:t>Grain Size procedure</w:t>
      </w:r>
      <w:r w:rsidR="000975CB" w:rsidRPr="00C574FE">
        <w:rPr>
          <w:b/>
        </w:rPr>
        <w:t xml:space="preserve"> (Experiments 1</w:t>
      </w:r>
      <w:r w:rsidR="005B7065" w:rsidRPr="00C574FE">
        <w:rPr>
          <w:b/>
        </w:rPr>
        <w:t xml:space="preserve">, 2 &amp; </w:t>
      </w:r>
      <w:r w:rsidR="000975CB" w:rsidRPr="00C574FE">
        <w:rPr>
          <w:b/>
        </w:rPr>
        <w:t>3)</w:t>
      </w:r>
      <w:r w:rsidRPr="00C574FE">
        <w:rPr>
          <w:b/>
        </w:rPr>
        <w:t>:</w:t>
      </w:r>
    </w:p>
    <w:p w14:paraId="0E371FC5" w14:textId="77777777" w:rsidR="00D147E0" w:rsidRPr="00C574FE" w:rsidRDefault="00D147E0" w:rsidP="00D147E0">
      <w:pPr>
        <w:spacing w:line="240" w:lineRule="auto"/>
        <w:ind w:left="284"/>
      </w:pPr>
    </w:p>
    <w:p w14:paraId="73CA6EDA" w14:textId="77777777" w:rsidR="00D147E0" w:rsidRPr="00C574FE" w:rsidRDefault="00D147E0" w:rsidP="005B7065">
      <w:pPr>
        <w:pStyle w:val="ListParagraph"/>
        <w:numPr>
          <w:ilvl w:val="0"/>
          <w:numId w:val="8"/>
        </w:numPr>
        <w:tabs>
          <w:tab w:val="clear" w:pos="8640"/>
        </w:tabs>
        <w:spacing w:line="240" w:lineRule="auto"/>
        <w:ind w:left="709" w:hanging="425"/>
        <w:contextualSpacing/>
        <w:jc w:val="both"/>
      </w:pPr>
      <w:r w:rsidRPr="00C574FE">
        <w:t>Step 1:</w:t>
      </w:r>
      <w:r w:rsidRPr="00C574FE">
        <w:tab/>
      </w:r>
      <w:r w:rsidRPr="00C574FE">
        <w:tab/>
        <w:t>Forced report coarse-grain item 1 (or fine-grain)</w:t>
      </w:r>
    </w:p>
    <w:p w14:paraId="380B9A6E" w14:textId="77777777" w:rsidR="00D147E0" w:rsidRPr="00C574FE" w:rsidRDefault="00D147E0" w:rsidP="005B7065">
      <w:pPr>
        <w:spacing w:line="240" w:lineRule="auto"/>
        <w:ind w:left="709" w:hanging="425"/>
      </w:pPr>
    </w:p>
    <w:p w14:paraId="303043E8" w14:textId="77777777" w:rsidR="00D147E0" w:rsidRPr="00C574FE" w:rsidRDefault="00D147E0" w:rsidP="005B7065">
      <w:pPr>
        <w:pStyle w:val="ListParagraph"/>
        <w:numPr>
          <w:ilvl w:val="0"/>
          <w:numId w:val="8"/>
        </w:numPr>
        <w:tabs>
          <w:tab w:val="clear" w:pos="8640"/>
        </w:tabs>
        <w:spacing w:line="240" w:lineRule="auto"/>
        <w:ind w:left="709" w:hanging="425"/>
        <w:contextualSpacing/>
        <w:jc w:val="both"/>
      </w:pPr>
      <w:r w:rsidRPr="00C574FE">
        <w:t>Step 2:</w:t>
      </w:r>
      <w:r w:rsidRPr="00C574FE">
        <w:tab/>
      </w:r>
      <w:r w:rsidRPr="00C574FE">
        <w:tab/>
        <w:t>Forced report fine-grain item 1 (or coarse-grain)</w:t>
      </w:r>
    </w:p>
    <w:p w14:paraId="46A9DBDF" w14:textId="77777777" w:rsidR="00D147E0" w:rsidRPr="00C574FE" w:rsidRDefault="00D147E0" w:rsidP="005B7065">
      <w:pPr>
        <w:spacing w:line="240" w:lineRule="auto"/>
        <w:ind w:left="709" w:hanging="425"/>
      </w:pPr>
    </w:p>
    <w:p w14:paraId="7D64C383" w14:textId="77777777" w:rsidR="00D147E0" w:rsidRPr="00C574FE" w:rsidRDefault="00D147E0" w:rsidP="005B7065">
      <w:pPr>
        <w:pStyle w:val="ListParagraph"/>
        <w:numPr>
          <w:ilvl w:val="0"/>
          <w:numId w:val="8"/>
        </w:numPr>
        <w:tabs>
          <w:tab w:val="clear" w:pos="8640"/>
        </w:tabs>
        <w:spacing w:line="240" w:lineRule="auto"/>
        <w:ind w:left="709" w:hanging="425"/>
        <w:contextualSpacing/>
        <w:jc w:val="both"/>
      </w:pPr>
      <w:r w:rsidRPr="00C574FE">
        <w:t>Step 3:</w:t>
      </w:r>
      <w:r w:rsidRPr="00C574FE">
        <w:tab/>
      </w:r>
      <w:r w:rsidRPr="00C574FE">
        <w:tab/>
        <w:t>Forced report preferred grain size item 1</w:t>
      </w:r>
    </w:p>
    <w:p w14:paraId="1DAD8010" w14:textId="77777777" w:rsidR="00D147E0" w:rsidRPr="00C574FE" w:rsidRDefault="00D147E0" w:rsidP="005B7065">
      <w:pPr>
        <w:pStyle w:val="ListParagraph"/>
        <w:ind w:left="709" w:hanging="425"/>
      </w:pPr>
    </w:p>
    <w:p w14:paraId="2416A8E0" w14:textId="77777777" w:rsidR="00D147E0" w:rsidRPr="00C574FE" w:rsidRDefault="00D147E0" w:rsidP="005B7065">
      <w:pPr>
        <w:pStyle w:val="ListParagraph"/>
        <w:numPr>
          <w:ilvl w:val="0"/>
          <w:numId w:val="8"/>
        </w:numPr>
        <w:tabs>
          <w:tab w:val="clear" w:pos="8640"/>
        </w:tabs>
        <w:spacing w:line="240" w:lineRule="auto"/>
        <w:ind w:left="709" w:hanging="425"/>
        <w:contextualSpacing/>
        <w:jc w:val="both"/>
      </w:pPr>
      <w:r w:rsidRPr="00C574FE">
        <w:t>Step 4:</w:t>
      </w:r>
      <w:r w:rsidRPr="00C574FE">
        <w:tab/>
      </w:r>
      <w:r w:rsidRPr="00C574FE">
        <w:tab/>
        <w:t>Forced report coarse-grain item 2 (or fine-grain)</w:t>
      </w:r>
    </w:p>
    <w:p w14:paraId="442A933C" w14:textId="77777777" w:rsidR="00D147E0" w:rsidRPr="00C574FE" w:rsidRDefault="00D147E0" w:rsidP="005B7065">
      <w:pPr>
        <w:tabs>
          <w:tab w:val="clear" w:pos="8640"/>
        </w:tabs>
        <w:spacing w:line="240" w:lineRule="auto"/>
        <w:ind w:left="1004" w:firstLine="436"/>
        <w:contextualSpacing/>
        <w:jc w:val="both"/>
      </w:pPr>
      <w:r w:rsidRPr="00C574FE">
        <w:t>etc.</w:t>
      </w:r>
    </w:p>
    <w:p w14:paraId="305F3439" w14:textId="5EE9FA1A" w:rsidR="00D147E0" w:rsidRPr="00C574FE" w:rsidRDefault="00D147E0" w:rsidP="00D147E0">
      <w:pPr>
        <w:spacing w:line="240" w:lineRule="auto"/>
        <w:ind w:left="284"/>
      </w:pPr>
    </w:p>
    <w:p w14:paraId="4F6336DD" w14:textId="77777777" w:rsidR="00D147E0" w:rsidRPr="00C574FE" w:rsidRDefault="00D147E0" w:rsidP="00D147E0">
      <w:pPr>
        <w:spacing w:line="240" w:lineRule="auto"/>
        <w:ind w:left="284"/>
      </w:pPr>
      <w:r w:rsidRPr="00C574FE">
        <w:t>OR</w:t>
      </w:r>
    </w:p>
    <w:p w14:paraId="2C3C930E" w14:textId="77777777" w:rsidR="00D147E0" w:rsidRPr="00C574FE" w:rsidRDefault="00D147E0" w:rsidP="00D147E0">
      <w:pPr>
        <w:spacing w:line="240" w:lineRule="auto"/>
        <w:ind w:left="284"/>
      </w:pPr>
    </w:p>
    <w:p w14:paraId="2AE2409A" w14:textId="3DA421D4" w:rsidR="00D147E0" w:rsidRPr="00C574FE" w:rsidRDefault="00D147E0" w:rsidP="00D147E0">
      <w:pPr>
        <w:spacing w:line="240" w:lineRule="auto"/>
        <w:ind w:left="284"/>
        <w:rPr>
          <w:b/>
        </w:rPr>
      </w:pPr>
      <w:r w:rsidRPr="00C574FE">
        <w:rPr>
          <w:b/>
        </w:rPr>
        <w:t>Free Recall</w:t>
      </w:r>
      <w:r w:rsidR="000975CB" w:rsidRPr="00C574FE">
        <w:rPr>
          <w:b/>
        </w:rPr>
        <w:t xml:space="preserve">  (Experiments 1</w:t>
      </w:r>
      <w:r w:rsidR="005B7065" w:rsidRPr="00C574FE">
        <w:rPr>
          <w:b/>
        </w:rPr>
        <w:t xml:space="preserve">, 2 &amp; </w:t>
      </w:r>
      <w:r w:rsidR="000975CB" w:rsidRPr="00C574FE">
        <w:rPr>
          <w:b/>
        </w:rPr>
        <w:t>3)</w:t>
      </w:r>
      <w:r w:rsidRPr="00C574FE">
        <w:rPr>
          <w:b/>
        </w:rPr>
        <w:t>:</w:t>
      </w:r>
    </w:p>
    <w:p w14:paraId="44D5167B" w14:textId="77777777" w:rsidR="00D147E0" w:rsidRPr="00C574FE" w:rsidRDefault="00D147E0" w:rsidP="00D147E0">
      <w:pPr>
        <w:spacing w:line="240" w:lineRule="auto"/>
        <w:ind w:left="284"/>
      </w:pPr>
    </w:p>
    <w:p w14:paraId="3DCC51EA" w14:textId="77777777" w:rsidR="00D147E0" w:rsidRPr="00C574FE" w:rsidRDefault="00D147E0" w:rsidP="005B7065">
      <w:pPr>
        <w:pStyle w:val="ListParagraph"/>
        <w:numPr>
          <w:ilvl w:val="0"/>
          <w:numId w:val="9"/>
        </w:numPr>
        <w:tabs>
          <w:tab w:val="clear" w:pos="8640"/>
        </w:tabs>
        <w:spacing w:line="240" w:lineRule="auto"/>
        <w:ind w:left="709" w:hanging="425"/>
        <w:contextualSpacing/>
        <w:jc w:val="both"/>
      </w:pPr>
      <w:r w:rsidRPr="00C574FE">
        <w:t>Self Administered Interview (SAI</w:t>
      </w:r>
      <w:r w:rsidRPr="00C574FE">
        <w:rPr>
          <w:vertAlign w:val="superscript"/>
        </w:rPr>
        <w:t>©</w:t>
      </w:r>
      <w:r w:rsidRPr="00C574FE">
        <w:t>) – includes follow-up prompts</w:t>
      </w:r>
    </w:p>
    <w:p w14:paraId="626F40B1" w14:textId="77777777" w:rsidR="00D147E0" w:rsidRPr="00C574FE" w:rsidRDefault="00D147E0" w:rsidP="00D147E0">
      <w:pPr>
        <w:spacing w:line="240" w:lineRule="auto"/>
        <w:ind w:left="284"/>
      </w:pPr>
    </w:p>
    <w:p w14:paraId="6111B977" w14:textId="77777777" w:rsidR="00D147E0" w:rsidRPr="00C574FE" w:rsidRDefault="00D147E0" w:rsidP="00D147E0">
      <w:pPr>
        <w:spacing w:line="240" w:lineRule="auto"/>
        <w:ind w:left="284"/>
      </w:pPr>
      <w:r w:rsidRPr="00C574FE">
        <w:t>OR</w:t>
      </w:r>
    </w:p>
    <w:p w14:paraId="0004EB0B" w14:textId="77777777" w:rsidR="00D147E0" w:rsidRPr="00C574FE" w:rsidRDefault="00D147E0" w:rsidP="00D147E0">
      <w:pPr>
        <w:spacing w:line="240" w:lineRule="auto"/>
        <w:ind w:left="284"/>
      </w:pPr>
    </w:p>
    <w:p w14:paraId="57B9AC2F" w14:textId="716B1572" w:rsidR="00D147E0" w:rsidRPr="00C574FE" w:rsidRDefault="00D147E0" w:rsidP="00D147E0">
      <w:pPr>
        <w:spacing w:line="240" w:lineRule="auto"/>
        <w:ind w:left="284"/>
        <w:rPr>
          <w:b/>
        </w:rPr>
      </w:pPr>
      <w:r w:rsidRPr="00C574FE">
        <w:rPr>
          <w:b/>
        </w:rPr>
        <w:t>Free Recall</w:t>
      </w:r>
      <w:r w:rsidR="000975CB" w:rsidRPr="00C574FE">
        <w:rPr>
          <w:b/>
        </w:rPr>
        <w:t xml:space="preserve"> (Experiments 1 &amp; 3)</w:t>
      </w:r>
      <w:r w:rsidRPr="00C574FE">
        <w:rPr>
          <w:b/>
        </w:rPr>
        <w:t>:</w:t>
      </w:r>
      <w:r w:rsidR="000975CB" w:rsidRPr="00C574FE">
        <w:rPr>
          <w:b/>
        </w:rPr>
        <w:t xml:space="preserve"> </w:t>
      </w:r>
    </w:p>
    <w:p w14:paraId="090F60D8" w14:textId="77777777" w:rsidR="00D147E0" w:rsidRPr="00C574FE" w:rsidRDefault="00D147E0" w:rsidP="00D147E0">
      <w:pPr>
        <w:spacing w:line="240" w:lineRule="auto"/>
        <w:ind w:left="284"/>
      </w:pPr>
    </w:p>
    <w:p w14:paraId="2E02F0AC" w14:textId="77777777" w:rsidR="00D147E0" w:rsidRPr="00C574FE" w:rsidRDefault="00D147E0" w:rsidP="005B7065">
      <w:pPr>
        <w:pStyle w:val="ListParagraph"/>
        <w:numPr>
          <w:ilvl w:val="0"/>
          <w:numId w:val="9"/>
        </w:numPr>
        <w:tabs>
          <w:tab w:val="clear" w:pos="8640"/>
        </w:tabs>
        <w:spacing w:line="240" w:lineRule="auto"/>
        <w:ind w:left="709" w:hanging="425"/>
        <w:contextualSpacing/>
        <w:jc w:val="both"/>
      </w:pPr>
      <w:r w:rsidRPr="00C574FE">
        <w:t>Report everything – no follow-up prompts</w:t>
      </w:r>
    </w:p>
    <w:p w14:paraId="41D7C4C9" w14:textId="77777777" w:rsidR="00D147E0" w:rsidRPr="00C574FE" w:rsidRDefault="00D147E0" w:rsidP="00D147E0">
      <w:pPr>
        <w:spacing w:line="240" w:lineRule="auto"/>
        <w:ind w:left="284"/>
      </w:pPr>
    </w:p>
    <w:p w14:paraId="0DA525BE" w14:textId="77777777" w:rsidR="00D147E0" w:rsidRPr="00C574FE" w:rsidRDefault="00D147E0" w:rsidP="00D147E0">
      <w:pPr>
        <w:spacing w:line="240" w:lineRule="auto"/>
        <w:ind w:left="284"/>
      </w:pPr>
      <w:r w:rsidRPr="00C574FE">
        <w:t>OR</w:t>
      </w:r>
    </w:p>
    <w:p w14:paraId="13A5B1E2" w14:textId="77777777" w:rsidR="00D147E0" w:rsidRPr="00C574FE" w:rsidRDefault="00D147E0" w:rsidP="00D147E0">
      <w:pPr>
        <w:spacing w:line="240" w:lineRule="auto"/>
        <w:ind w:left="284"/>
      </w:pPr>
    </w:p>
    <w:p w14:paraId="56A5E5FF" w14:textId="70ADBB4D" w:rsidR="00D147E0" w:rsidRPr="00C574FE" w:rsidRDefault="00D147E0" w:rsidP="00D147E0">
      <w:pPr>
        <w:spacing w:line="240" w:lineRule="auto"/>
        <w:ind w:left="284"/>
        <w:rPr>
          <w:b/>
        </w:rPr>
      </w:pPr>
      <w:r w:rsidRPr="00C574FE">
        <w:rPr>
          <w:b/>
        </w:rPr>
        <w:t>Free Recall</w:t>
      </w:r>
      <w:r w:rsidR="000975CB" w:rsidRPr="00C574FE">
        <w:rPr>
          <w:b/>
        </w:rPr>
        <w:t xml:space="preserve">  (Experiments 1</w:t>
      </w:r>
      <w:r w:rsidR="005B7065" w:rsidRPr="00C574FE">
        <w:rPr>
          <w:b/>
        </w:rPr>
        <w:t>, 2 &amp; 3</w:t>
      </w:r>
      <w:r w:rsidR="000975CB" w:rsidRPr="00C574FE">
        <w:rPr>
          <w:b/>
        </w:rPr>
        <w:t>)</w:t>
      </w:r>
      <w:r w:rsidRPr="00C574FE">
        <w:rPr>
          <w:b/>
        </w:rPr>
        <w:t>:</w:t>
      </w:r>
    </w:p>
    <w:p w14:paraId="357538A3" w14:textId="77777777" w:rsidR="00D147E0" w:rsidRPr="00C574FE" w:rsidRDefault="00D147E0" w:rsidP="00D147E0">
      <w:pPr>
        <w:spacing w:line="240" w:lineRule="auto"/>
        <w:ind w:left="284"/>
      </w:pPr>
    </w:p>
    <w:p w14:paraId="6D0A8640" w14:textId="77777777" w:rsidR="00D147E0" w:rsidRPr="00C574FE" w:rsidRDefault="00D147E0" w:rsidP="005B7065">
      <w:pPr>
        <w:pStyle w:val="ListParagraph"/>
        <w:numPr>
          <w:ilvl w:val="0"/>
          <w:numId w:val="9"/>
        </w:numPr>
        <w:tabs>
          <w:tab w:val="clear" w:pos="8640"/>
        </w:tabs>
        <w:spacing w:line="240" w:lineRule="auto"/>
        <w:ind w:left="709" w:hanging="425"/>
        <w:contextualSpacing/>
        <w:jc w:val="both"/>
      </w:pPr>
      <w:r w:rsidRPr="00C574FE">
        <w:t>Report everything plus confidence – no follow-up prompts</w:t>
      </w:r>
    </w:p>
    <w:p w14:paraId="47CD3891" w14:textId="77777777" w:rsidR="00D147E0" w:rsidRDefault="00D147E0" w:rsidP="00D147E0">
      <w:pPr>
        <w:spacing w:line="240" w:lineRule="auto"/>
        <w:ind w:left="284"/>
      </w:pPr>
    </w:p>
    <w:sectPr w:rsidR="00D147E0" w:rsidSect="007773BD">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478E2" w14:textId="77777777" w:rsidR="00E53E7C" w:rsidRDefault="00E53E7C" w:rsidP="000E2953">
      <w:pPr>
        <w:spacing w:line="240" w:lineRule="auto"/>
      </w:pPr>
      <w:r>
        <w:separator/>
      </w:r>
    </w:p>
  </w:endnote>
  <w:endnote w:type="continuationSeparator" w:id="0">
    <w:p w14:paraId="18858978" w14:textId="77777777" w:rsidR="00E53E7C" w:rsidRDefault="00E53E7C" w:rsidP="000E2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DejaVu Sans">
    <w:altName w:val="MS Mincho"/>
    <w:charset w:val="01"/>
    <w:family w:val="auto"/>
    <w:pitch w:val="variable"/>
  </w:font>
  <w:font w:name="Batang">
    <w:altName w:val="바탕"/>
    <w:charset w:val="81"/>
    <w:family w:val="roman"/>
    <w:pitch w:val="variable"/>
    <w:sig w:usb0="B00002AF" w:usb1="69D77CFB" w:usb2="00000030" w:usb3="00000000" w:csb0="0008009F" w:csb1="00000000"/>
  </w:font>
  <w:font w:name="Times-Roman">
    <w:altName w:val="Times"/>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E40BC" w14:textId="77777777" w:rsidR="00E53E7C" w:rsidRDefault="00E53E7C" w:rsidP="000E2953">
      <w:pPr>
        <w:spacing w:line="240" w:lineRule="auto"/>
      </w:pPr>
      <w:r>
        <w:separator/>
      </w:r>
    </w:p>
  </w:footnote>
  <w:footnote w:type="continuationSeparator" w:id="0">
    <w:p w14:paraId="78BFA5D0" w14:textId="77777777" w:rsidR="00E53E7C" w:rsidRDefault="00E53E7C" w:rsidP="000E295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C6A7A" w14:textId="1E89657F" w:rsidR="00F75162" w:rsidRDefault="00F75162">
    <w:pPr>
      <w:pStyle w:val="Header"/>
      <w:jc w:val="right"/>
    </w:pPr>
    <w:r>
      <w:t xml:space="preserve">Interviewing witnesses     </w:t>
    </w:r>
    <w:r>
      <w:fldChar w:fldCharType="begin"/>
    </w:r>
    <w:r>
      <w:instrText xml:space="preserve"> PAGE   \* MERGEFORMAT </w:instrText>
    </w:r>
    <w:r>
      <w:fldChar w:fldCharType="separate"/>
    </w:r>
    <w:r w:rsidR="006E3687">
      <w:rPr>
        <w:noProof/>
      </w:rPr>
      <w:t>17</w:t>
    </w:r>
    <w:r>
      <w:rPr>
        <w:noProof/>
      </w:rPr>
      <w:fldChar w:fldCharType="end"/>
    </w:r>
  </w:p>
  <w:p w14:paraId="395D8CEF" w14:textId="77777777" w:rsidR="00F75162" w:rsidRPr="0087651C" w:rsidRDefault="00F75162" w:rsidP="003B6F77">
    <w:pPr>
      <w:pStyle w:val="Header"/>
      <w:jc w:val="right"/>
      <w:rPr>
        <w:lang w:val="en-AU"/>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2A3"/>
    <w:multiLevelType w:val="hybridMultilevel"/>
    <w:tmpl w:val="EF567D3E"/>
    <w:lvl w:ilvl="0" w:tplc="7A0EFD10">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11EB1EEA"/>
    <w:multiLevelType w:val="hybridMultilevel"/>
    <w:tmpl w:val="5B426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CC29FA"/>
    <w:multiLevelType w:val="hybridMultilevel"/>
    <w:tmpl w:val="F1668274"/>
    <w:lvl w:ilvl="0" w:tplc="7436DAFA">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24C5836"/>
    <w:multiLevelType w:val="hybridMultilevel"/>
    <w:tmpl w:val="8A4CF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3B5B70"/>
    <w:multiLevelType w:val="hybridMultilevel"/>
    <w:tmpl w:val="8E76E8B2"/>
    <w:lvl w:ilvl="0" w:tplc="075A84C2">
      <w:start w:val="2"/>
      <w:numFmt w:val="bullet"/>
      <w:lvlText w:val=""/>
      <w:lvlJc w:val="left"/>
      <w:pPr>
        <w:ind w:left="720" w:hanging="360"/>
      </w:pPr>
      <w:rPr>
        <w:rFonts w:ascii="Symbol" w:eastAsia="SimSun"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3C03E17"/>
    <w:multiLevelType w:val="hybridMultilevel"/>
    <w:tmpl w:val="59E62F3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nsid w:val="6CB52305"/>
    <w:multiLevelType w:val="hybridMultilevel"/>
    <w:tmpl w:val="9D7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00FC5"/>
    <w:multiLevelType w:val="hybridMultilevel"/>
    <w:tmpl w:val="76204878"/>
    <w:lvl w:ilvl="0" w:tplc="B800708E">
      <w:start w:val="2"/>
      <w:numFmt w:val="bullet"/>
      <w:lvlText w:val=""/>
      <w:lvlJc w:val="left"/>
      <w:pPr>
        <w:ind w:left="720" w:hanging="360"/>
      </w:pPr>
      <w:rPr>
        <w:rFonts w:ascii="Symbol" w:eastAsia="SimSun"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4AB1717"/>
    <w:multiLevelType w:val="hybridMultilevel"/>
    <w:tmpl w:val="319E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3408C"/>
    <w:multiLevelType w:val="hybridMultilevel"/>
    <w:tmpl w:val="BA980C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7B3163DD"/>
    <w:multiLevelType w:val="hybridMultilevel"/>
    <w:tmpl w:val="AFD88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0"/>
  </w:num>
  <w:num w:numId="5">
    <w:abstractNumId w:val="5"/>
  </w:num>
  <w:num w:numId="6">
    <w:abstractNumId w:val="0"/>
  </w:num>
  <w:num w:numId="7">
    <w:abstractNumId w:val="1"/>
  </w:num>
  <w:num w:numId="8">
    <w:abstractNumId w:val="6"/>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006732"/>
    <w:rsid w:val="00006732"/>
    <w:rsid w:val="00006849"/>
    <w:rsid w:val="00006BED"/>
    <w:rsid w:val="00011B08"/>
    <w:rsid w:val="00013222"/>
    <w:rsid w:val="000147E1"/>
    <w:rsid w:val="00014BCF"/>
    <w:rsid w:val="00017DCE"/>
    <w:rsid w:val="00021C24"/>
    <w:rsid w:val="000231E3"/>
    <w:rsid w:val="00023820"/>
    <w:rsid w:val="00026789"/>
    <w:rsid w:val="0002783C"/>
    <w:rsid w:val="00030BBB"/>
    <w:rsid w:val="00033555"/>
    <w:rsid w:val="00033EFC"/>
    <w:rsid w:val="00035BB8"/>
    <w:rsid w:val="0004017C"/>
    <w:rsid w:val="00040686"/>
    <w:rsid w:val="00042FBB"/>
    <w:rsid w:val="000443EC"/>
    <w:rsid w:val="000448D9"/>
    <w:rsid w:val="00047839"/>
    <w:rsid w:val="00047AB5"/>
    <w:rsid w:val="0005001F"/>
    <w:rsid w:val="000527E5"/>
    <w:rsid w:val="0005281C"/>
    <w:rsid w:val="000539B7"/>
    <w:rsid w:val="00057084"/>
    <w:rsid w:val="00057AB1"/>
    <w:rsid w:val="00057AD5"/>
    <w:rsid w:val="000611CB"/>
    <w:rsid w:val="00062290"/>
    <w:rsid w:val="00062E6B"/>
    <w:rsid w:val="000665F4"/>
    <w:rsid w:val="00071581"/>
    <w:rsid w:val="000721B0"/>
    <w:rsid w:val="00075B7A"/>
    <w:rsid w:val="000804A9"/>
    <w:rsid w:val="0008127A"/>
    <w:rsid w:val="00082A9B"/>
    <w:rsid w:val="00082AC9"/>
    <w:rsid w:val="000841D4"/>
    <w:rsid w:val="00084AB4"/>
    <w:rsid w:val="000871B7"/>
    <w:rsid w:val="000912C5"/>
    <w:rsid w:val="0009293A"/>
    <w:rsid w:val="00092EC1"/>
    <w:rsid w:val="00093C49"/>
    <w:rsid w:val="0009417E"/>
    <w:rsid w:val="00094CA2"/>
    <w:rsid w:val="000955DB"/>
    <w:rsid w:val="000975CB"/>
    <w:rsid w:val="000A010D"/>
    <w:rsid w:val="000A068A"/>
    <w:rsid w:val="000A16F9"/>
    <w:rsid w:val="000A24F9"/>
    <w:rsid w:val="000A33E6"/>
    <w:rsid w:val="000A4E80"/>
    <w:rsid w:val="000A573B"/>
    <w:rsid w:val="000A5D82"/>
    <w:rsid w:val="000A6AC5"/>
    <w:rsid w:val="000A7643"/>
    <w:rsid w:val="000B2EF0"/>
    <w:rsid w:val="000B37B7"/>
    <w:rsid w:val="000B6499"/>
    <w:rsid w:val="000B6F5B"/>
    <w:rsid w:val="000B79C4"/>
    <w:rsid w:val="000C1CBE"/>
    <w:rsid w:val="000C28DF"/>
    <w:rsid w:val="000C3A97"/>
    <w:rsid w:val="000C7F05"/>
    <w:rsid w:val="000D07BF"/>
    <w:rsid w:val="000D0C44"/>
    <w:rsid w:val="000D1719"/>
    <w:rsid w:val="000D22AF"/>
    <w:rsid w:val="000D28DB"/>
    <w:rsid w:val="000D3331"/>
    <w:rsid w:val="000D699C"/>
    <w:rsid w:val="000D6E18"/>
    <w:rsid w:val="000D6E32"/>
    <w:rsid w:val="000D709E"/>
    <w:rsid w:val="000D72B6"/>
    <w:rsid w:val="000E2953"/>
    <w:rsid w:val="000E297B"/>
    <w:rsid w:val="000E2BA0"/>
    <w:rsid w:val="000E3300"/>
    <w:rsid w:val="000E4B46"/>
    <w:rsid w:val="000E53FE"/>
    <w:rsid w:val="000E6202"/>
    <w:rsid w:val="000E6327"/>
    <w:rsid w:val="000E63E7"/>
    <w:rsid w:val="000F0F7B"/>
    <w:rsid w:val="000F22A7"/>
    <w:rsid w:val="000F22D4"/>
    <w:rsid w:val="000F30BA"/>
    <w:rsid w:val="000F3F2C"/>
    <w:rsid w:val="000F3F31"/>
    <w:rsid w:val="000F45A6"/>
    <w:rsid w:val="000F4625"/>
    <w:rsid w:val="000F6505"/>
    <w:rsid w:val="00100AAE"/>
    <w:rsid w:val="001017D3"/>
    <w:rsid w:val="001018B8"/>
    <w:rsid w:val="00101BD3"/>
    <w:rsid w:val="00102CCA"/>
    <w:rsid w:val="00103956"/>
    <w:rsid w:val="00104929"/>
    <w:rsid w:val="00105DA0"/>
    <w:rsid w:val="001154A5"/>
    <w:rsid w:val="001159CA"/>
    <w:rsid w:val="00117859"/>
    <w:rsid w:val="00123BD0"/>
    <w:rsid w:val="001247FA"/>
    <w:rsid w:val="00125C0E"/>
    <w:rsid w:val="00125D7C"/>
    <w:rsid w:val="001265EF"/>
    <w:rsid w:val="00127150"/>
    <w:rsid w:val="00127B46"/>
    <w:rsid w:val="00130EFE"/>
    <w:rsid w:val="00132F31"/>
    <w:rsid w:val="00136D6E"/>
    <w:rsid w:val="00140CAE"/>
    <w:rsid w:val="00140D07"/>
    <w:rsid w:val="00140EC0"/>
    <w:rsid w:val="001467C9"/>
    <w:rsid w:val="00150D61"/>
    <w:rsid w:val="00151873"/>
    <w:rsid w:val="00151DD2"/>
    <w:rsid w:val="0015340B"/>
    <w:rsid w:val="00156C5E"/>
    <w:rsid w:val="0015708A"/>
    <w:rsid w:val="00163629"/>
    <w:rsid w:val="0017033F"/>
    <w:rsid w:val="001741BD"/>
    <w:rsid w:val="00174302"/>
    <w:rsid w:val="00174EB8"/>
    <w:rsid w:val="00175485"/>
    <w:rsid w:val="00176C12"/>
    <w:rsid w:val="00176F62"/>
    <w:rsid w:val="00180838"/>
    <w:rsid w:val="001814B9"/>
    <w:rsid w:val="0018347A"/>
    <w:rsid w:val="001849DD"/>
    <w:rsid w:val="001864C0"/>
    <w:rsid w:val="00191279"/>
    <w:rsid w:val="001915EF"/>
    <w:rsid w:val="001924C8"/>
    <w:rsid w:val="00192A81"/>
    <w:rsid w:val="00193247"/>
    <w:rsid w:val="001934E9"/>
    <w:rsid w:val="001936C9"/>
    <w:rsid w:val="00193808"/>
    <w:rsid w:val="001A0EDF"/>
    <w:rsid w:val="001A10D6"/>
    <w:rsid w:val="001A3823"/>
    <w:rsid w:val="001A3985"/>
    <w:rsid w:val="001A3FD3"/>
    <w:rsid w:val="001A4710"/>
    <w:rsid w:val="001A54EE"/>
    <w:rsid w:val="001A5775"/>
    <w:rsid w:val="001A6708"/>
    <w:rsid w:val="001A70E3"/>
    <w:rsid w:val="001B013A"/>
    <w:rsid w:val="001B0677"/>
    <w:rsid w:val="001B2A40"/>
    <w:rsid w:val="001B41EB"/>
    <w:rsid w:val="001C03AE"/>
    <w:rsid w:val="001C1CE8"/>
    <w:rsid w:val="001C304F"/>
    <w:rsid w:val="001C3073"/>
    <w:rsid w:val="001C37FF"/>
    <w:rsid w:val="001C49A8"/>
    <w:rsid w:val="001D1C99"/>
    <w:rsid w:val="001D219E"/>
    <w:rsid w:val="001D4859"/>
    <w:rsid w:val="001D491A"/>
    <w:rsid w:val="001D4C4E"/>
    <w:rsid w:val="001D4EAB"/>
    <w:rsid w:val="001D650C"/>
    <w:rsid w:val="001D7100"/>
    <w:rsid w:val="001D7A17"/>
    <w:rsid w:val="001E04A7"/>
    <w:rsid w:val="001E5DA5"/>
    <w:rsid w:val="001E7DA0"/>
    <w:rsid w:val="001F13EA"/>
    <w:rsid w:val="001F1AB4"/>
    <w:rsid w:val="001F4982"/>
    <w:rsid w:val="001F4F2F"/>
    <w:rsid w:val="0020101A"/>
    <w:rsid w:val="00201A08"/>
    <w:rsid w:val="00202066"/>
    <w:rsid w:val="00203079"/>
    <w:rsid w:val="00203232"/>
    <w:rsid w:val="00203289"/>
    <w:rsid w:val="0020366D"/>
    <w:rsid w:val="002038B2"/>
    <w:rsid w:val="002041EF"/>
    <w:rsid w:val="00204768"/>
    <w:rsid w:val="00210330"/>
    <w:rsid w:val="00212D4A"/>
    <w:rsid w:val="00213123"/>
    <w:rsid w:val="002155AA"/>
    <w:rsid w:val="002157C2"/>
    <w:rsid w:val="00216BE0"/>
    <w:rsid w:val="002201A8"/>
    <w:rsid w:val="00221E02"/>
    <w:rsid w:val="002221B7"/>
    <w:rsid w:val="002244C4"/>
    <w:rsid w:val="00225307"/>
    <w:rsid w:val="00225387"/>
    <w:rsid w:val="00232945"/>
    <w:rsid w:val="00234EB4"/>
    <w:rsid w:val="00235CBB"/>
    <w:rsid w:val="00236A58"/>
    <w:rsid w:val="00236D5B"/>
    <w:rsid w:val="002377A4"/>
    <w:rsid w:val="00241677"/>
    <w:rsid w:val="00243362"/>
    <w:rsid w:val="0024557C"/>
    <w:rsid w:val="00245CF2"/>
    <w:rsid w:val="00253233"/>
    <w:rsid w:val="002544AE"/>
    <w:rsid w:val="00255CA1"/>
    <w:rsid w:val="002617DB"/>
    <w:rsid w:val="0026265D"/>
    <w:rsid w:val="00262B3E"/>
    <w:rsid w:val="00263356"/>
    <w:rsid w:val="002653B9"/>
    <w:rsid w:val="00265CD5"/>
    <w:rsid w:val="00266123"/>
    <w:rsid w:val="002663B4"/>
    <w:rsid w:val="00270581"/>
    <w:rsid w:val="00272004"/>
    <w:rsid w:val="00276C2C"/>
    <w:rsid w:val="002776B8"/>
    <w:rsid w:val="00277D52"/>
    <w:rsid w:val="00280162"/>
    <w:rsid w:val="00280C88"/>
    <w:rsid w:val="0028248C"/>
    <w:rsid w:val="00283031"/>
    <w:rsid w:val="0028413C"/>
    <w:rsid w:val="00284BD9"/>
    <w:rsid w:val="002873D9"/>
    <w:rsid w:val="00290729"/>
    <w:rsid w:val="00290D56"/>
    <w:rsid w:val="002910C2"/>
    <w:rsid w:val="00291374"/>
    <w:rsid w:val="00293E1E"/>
    <w:rsid w:val="00294E06"/>
    <w:rsid w:val="002973B2"/>
    <w:rsid w:val="002A0635"/>
    <w:rsid w:val="002A1691"/>
    <w:rsid w:val="002A2150"/>
    <w:rsid w:val="002A4B23"/>
    <w:rsid w:val="002B2490"/>
    <w:rsid w:val="002B43D6"/>
    <w:rsid w:val="002B49DA"/>
    <w:rsid w:val="002B6068"/>
    <w:rsid w:val="002B6A2E"/>
    <w:rsid w:val="002B6E84"/>
    <w:rsid w:val="002B790F"/>
    <w:rsid w:val="002B7D82"/>
    <w:rsid w:val="002C3275"/>
    <w:rsid w:val="002C50E5"/>
    <w:rsid w:val="002C5E52"/>
    <w:rsid w:val="002C60CA"/>
    <w:rsid w:val="002C747D"/>
    <w:rsid w:val="002D0278"/>
    <w:rsid w:val="002D1893"/>
    <w:rsid w:val="002D2932"/>
    <w:rsid w:val="002D4BAF"/>
    <w:rsid w:val="002D65E4"/>
    <w:rsid w:val="002D76B1"/>
    <w:rsid w:val="002E34DE"/>
    <w:rsid w:val="002E3F19"/>
    <w:rsid w:val="002E561B"/>
    <w:rsid w:val="002E5EAE"/>
    <w:rsid w:val="002F16AF"/>
    <w:rsid w:val="002F1BB8"/>
    <w:rsid w:val="002F3682"/>
    <w:rsid w:val="002F480A"/>
    <w:rsid w:val="002F4DC0"/>
    <w:rsid w:val="002F531E"/>
    <w:rsid w:val="002F6BFE"/>
    <w:rsid w:val="00302684"/>
    <w:rsid w:val="00302766"/>
    <w:rsid w:val="00304241"/>
    <w:rsid w:val="003048FE"/>
    <w:rsid w:val="0030593F"/>
    <w:rsid w:val="003062AD"/>
    <w:rsid w:val="00311CA6"/>
    <w:rsid w:val="003158A6"/>
    <w:rsid w:val="0031626D"/>
    <w:rsid w:val="003170D6"/>
    <w:rsid w:val="00317609"/>
    <w:rsid w:val="00320D0D"/>
    <w:rsid w:val="00320F07"/>
    <w:rsid w:val="00321185"/>
    <w:rsid w:val="00321578"/>
    <w:rsid w:val="00321E39"/>
    <w:rsid w:val="0032313C"/>
    <w:rsid w:val="0032345C"/>
    <w:rsid w:val="00324D33"/>
    <w:rsid w:val="0032651B"/>
    <w:rsid w:val="003266B2"/>
    <w:rsid w:val="003273DE"/>
    <w:rsid w:val="00327A80"/>
    <w:rsid w:val="003311F8"/>
    <w:rsid w:val="00331E23"/>
    <w:rsid w:val="00332669"/>
    <w:rsid w:val="00340AA5"/>
    <w:rsid w:val="00341F0A"/>
    <w:rsid w:val="00343320"/>
    <w:rsid w:val="00343A65"/>
    <w:rsid w:val="00344509"/>
    <w:rsid w:val="003502E0"/>
    <w:rsid w:val="0035160E"/>
    <w:rsid w:val="00354E06"/>
    <w:rsid w:val="00356ACC"/>
    <w:rsid w:val="003577B3"/>
    <w:rsid w:val="00360568"/>
    <w:rsid w:val="00360ACA"/>
    <w:rsid w:val="0036120C"/>
    <w:rsid w:val="00361A36"/>
    <w:rsid w:val="003627C9"/>
    <w:rsid w:val="00363397"/>
    <w:rsid w:val="003705DD"/>
    <w:rsid w:val="00370C08"/>
    <w:rsid w:val="00370C78"/>
    <w:rsid w:val="003742BC"/>
    <w:rsid w:val="0037458E"/>
    <w:rsid w:val="003745AB"/>
    <w:rsid w:val="00374CD6"/>
    <w:rsid w:val="003751B1"/>
    <w:rsid w:val="00375381"/>
    <w:rsid w:val="00380ACF"/>
    <w:rsid w:val="00382232"/>
    <w:rsid w:val="00384237"/>
    <w:rsid w:val="0038435F"/>
    <w:rsid w:val="00386659"/>
    <w:rsid w:val="003876FC"/>
    <w:rsid w:val="0038796B"/>
    <w:rsid w:val="0039324A"/>
    <w:rsid w:val="00393ED3"/>
    <w:rsid w:val="00394E70"/>
    <w:rsid w:val="00395A25"/>
    <w:rsid w:val="00395A76"/>
    <w:rsid w:val="003A2389"/>
    <w:rsid w:val="003A23F1"/>
    <w:rsid w:val="003A5394"/>
    <w:rsid w:val="003A75CC"/>
    <w:rsid w:val="003B5DD0"/>
    <w:rsid w:val="003B6F77"/>
    <w:rsid w:val="003C1B41"/>
    <w:rsid w:val="003C39BB"/>
    <w:rsid w:val="003D1373"/>
    <w:rsid w:val="003D3623"/>
    <w:rsid w:val="003D6214"/>
    <w:rsid w:val="003E1C38"/>
    <w:rsid w:val="003E245E"/>
    <w:rsid w:val="003E2C49"/>
    <w:rsid w:val="003F06BC"/>
    <w:rsid w:val="003F396B"/>
    <w:rsid w:val="003F4CFF"/>
    <w:rsid w:val="003F5210"/>
    <w:rsid w:val="003F561F"/>
    <w:rsid w:val="003F5B46"/>
    <w:rsid w:val="003F6DA5"/>
    <w:rsid w:val="0040177E"/>
    <w:rsid w:val="00401FC8"/>
    <w:rsid w:val="00406F0D"/>
    <w:rsid w:val="0040775F"/>
    <w:rsid w:val="004102FC"/>
    <w:rsid w:val="00410682"/>
    <w:rsid w:val="00412008"/>
    <w:rsid w:val="0041203E"/>
    <w:rsid w:val="00415E50"/>
    <w:rsid w:val="004161AC"/>
    <w:rsid w:val="0041635E"/>
    <w:rsid w:val="00421D5D"/>
    <w:rsid w:val="00421ED7"/>
    <w:rsid w:val="004233DD"/>
    <w:rsid w:val="004251C3"/>
    <w:rsid w:val="004279E7"/>
    <w:rsid w:val="00430680"/>
    <w:rsid w:val="00434DE9"/>
    <w:rsid w:val="00436B22"/>
    <w:rsid w:val="004373BB"/>
    <w:rsid w:val="00440960"/>
    <w:rsid w:val="00440C65"/>
    <w:rsid w:val="00441F8A"/>
    <w:rsid w:val="00442709"/>
    <w:rsid w:val="00446C84"/>
    <w:rsid w:val="00446FBB"/>
    <w:rsid w:val="00451287"/>
    <w:rsid w:val="00451843"/>
    <w:rsid w:val="004541EE"/>
    <w:rsid w:val="00456A84"/>
    <w:rsid w:val="00457A63"/>
    <w:rsid w:val="004619A0"/>
    <w:rsid w:val="00462A0E"/>
    <w:rsid w:val="004653D6"/>
    <w:rsid w:val="00470FAC"/>
    <w:rsid w:val="0047360E"/>
    <w:rsid w:val="00473817"/>
    <w:rsid w:val="00473B2F"/>
    <w:rsid w:val="00474E03"/>
    <w:rsid w:val="004769E7"/>
    <w:rsid w:val="004778DC"/>
    <w:rsid w:val="004779BF"/>
    <w:rsid w:val="004802D0"/>
    <w:rsid w:val="00481411"/>
    <w:rsid w:val="00490EBC"/>
    <w:rsid w:val="00492522"/>
    <w:rsid w:val="00493837"/>
    <w:rsid w:val="00496DAC"/>
    <w:rsid w:val="004A0230"/>
    <w:rsid w:val="004A28B4"/>
    <w:rsid w:val="004A2B6E"/>
    <w:rsid w:val="004A2C29"/>
    <w:rsid w:val="004A2EE9"/>
    <w:rsid w:val="004A3177"/>
    <w:rsid w:val="004A3B39"/>
    <w:rsid w:val="004A3CD2"/>
    <w:rsid w:val="004A3DAC"/>
    <w:rsid w:val="004A42B7"/>
    <w:rsid w:val="004A5D9E"/>
    <w:rsid w:val="004A75AA"/>
    <w:rsid w:val="004B1856"/>
    <w:rsid w:val="004B3643"/>
    <w:rsid w:val="004B38C6"/>
    <w:rsid w:val="004B4090"/>
    <w:rsid w:val="004B434B"/>
    <w:rsid w:val="004B47C1"/>
    <w:rsid w:val="004B6594"/>
    <w:rsid w:val="004B6CD1"/>
    <w:rsid w:val="004B7FC0"/>
    <w:rsid w:val="004C12F1"/>
    <w:rsid w:val="004C1BED"/>
    <w:rsid w:val="004C2D49"/>
    <w:rsid w:val="004C595F"/>
    <w:rsid w:val="004C6AFF"/>
    <w:rsid w:val="004C72A1"/>
    <w:rsid w:val="004C73CD"/>
    <w:rsid w:val="004D2720"/>
    <w:rsid w:val="004D2F4D"/>
    <w:rsid w:val="004D39C3"/>
    <w:rsid w:val="004D3DBA"/>
    <w:rsid w:val="004D43ED"/>
    <w:rsid w:val="004D5804"/>
    <w:rsid w:val="004D5861"/>
    <w:rsid w:val="004D5D79"/>
    <w:rsid w:val="004D6B33"/>
    <w:rsid w:val="004E0848"/>
    <w:rsid w:val="004E0923"/>
    <w:rsid w:val="004E50CF"/>
    <w:rsid w:val="004E5F13"/>
    <w:rsid w:val="004E6794"/>
    <w:rsid w:val="004F07DA"/>
    <w:rsid w:val="004F0AC2"/>
    <w:rsid w:val="004F2D80"/>
    <w:rsid w:val="004F31A9"/>
    <w:rsid w:val="004F522B"/>
    <w:rsid w:val="004F6AED"/>
    <w:rsid w:val="005023FD"/>
    <w:rsid w:val="00502B6A"/>
    <w:rsid w:val="005049BE"/>
    <w:rsid w:val="0050527E"/>
    <w:rsid w:val="00510D31"/>
    <w:rsid w:val="00510D76"/>
    <w:rsid w:val="005129F8"/>
    <w:rsid w:val="005136EA"/>
    <w:rsid w:val="0051441B"/>
    <w:rsid w:val="00517F9D"/>
    <w:rsid w:val="00523649"/>
    <w:rsid w:val="00523805"/>
    <w:rsid w:val="00524379"/>
    <w:rsid w:val="00524745"/>
    <w:rsid w:val="00526B31"/>
    <w:rsid w:val="00526CB7"/>
    <w:rsid w:val="00527727"/>
    <w:rsid w:val="00527A1B"/>
    <w:rsid w:val="00527CA1"/>
    <w:rsid w:val="00535124"/>
    <w:rsid w:val="00535A9D"/>
    <w:rsid w:val="00537C85"/>
    <w:rsid w:val="00540714"/>
    <w:rsid w:val="0054216E"/>
    <w:rsid w:val="0054318C"/>
    <w:rsid w:val="00543543"/>
    <w:rsid w:val="00543C86"/>
    <w:rsid w:val="00543CD5"/>
    <w:rsid w:val="0054538C"/>
    <w:rsid w:val="00546AA5"/>
    <w:rsid w:val="00550879"/>
    <w:rsid w:val="00553DFF"/>
    <w:rsid w:val="005554AF"/>
    <w:rsid w:val="005560F0"/>
    <w:rsid w:val="0056040A"/>
    <w:rsid w:val="00560ABA"/>
    <w:rsid w:val="0056244A"/>
    <w:rsid w:val="00563F65"/>
    <w:rsid w:val="0056772F"/>
    <w:rsid w:val="00567B95"/>
    <w:rsid w:val="005710A8"/>
    <w:rsid w:val="00572245"/>
    <w:rsid w:val="00573428"/>
    <w:rsid w:val="00573A23"/>
    <w:rsid w:val="00574C02"/>
    <w:rsid w:val="00575925"/>
    <w:rsid w:val="00577519"/>
    <w:rsid w:val="00577EB8"/>
    <w:rsid w:val="00583434"/>
    <w:rsid w:val="00583A4E"/>
    <w:rsid w:val="00586AA8"/>
    <w:rsid w:val="00587275"/>
    <w:rsid w:val="00590814"/>
    <w:rsid w:val="00591D39"/>
    <w:rsid w:val="00595FE6"/>
    <w:rsid w:val="00597696"/>
    <w:rsid w:val="005A279C"/>
    <w:rsid w:val="005A2F55"/>
    <w:rsid w:val="005A3988"/>
    <w:rsid w:val="005A4E45"/>
    <w:rsid w:val="005A4F3D"/>
    <w:rsid w:val="005A6580"/>
    <w:rsid w:val="005B1086"/>
    <w:rsid w:val="005B1A7D"/>
    <w:rsid w:val="005B1CF8"/>
    <w:rsid w:val="005B35C2"/>
    <w:rsid w:val="005B4049"/>
    <w:rsid w:val="005B7065"/>
    <w:rsid w:val="005C70CF"/>
    <w:rsid w:val="005D4C2C"/>
    <w:rsid w:val="005D68D1"/>
    <w:rsid w:val="005D7DF2"/>
    <w:rsid w:val="005E1140"/>
    <w:rsid w:val="005E1FD5"/>
    <w:rsid w:val="005E27B4"/>
    <w:rsid w:val="005E31DA"/>
    <w:rsid w:val="005E5346"/>
    <w:rsid w:val="005E57B1"/>
    <w:rsid w:val="005F1596"/>
    <w:rsid w:val="005F186F"/>
    <w:rsid w:val="005F19C6"/>
    <w:rsid w:val="005F2C2F"/>
    <w:rsid w:val="005F36C7"/>
    <w:rsid w:val="005F3B99"/>
    <w:rsid w:val="005F3C7D"/>
    <w:rsid w:val="005F63DE"/>
    <w:rsid w:val="006014BB"/>
    <w:rsid w:val="006030DB"/>
    <w:rsid w:val="0060370C"/>
    <w:rsid w:val="00605526"/>
    <w:rsid w:val="00607C96"/>
    <w:rsid w:val="00610227"/>
    <w:rsid w:val="00610B44"/>
    <w:rsid w:val="006119F9"/>
    <w:rsid w:val="006161E0"/>
    <w:rsid w:val="006165D7"/>
    <w:rsid w:val="006205B1"/>
    <w:rsid w:val="00621FB1"/>
    <w:rsid w:val="0062278E"/>
    <w:rsid w:val="006251F5"/>
    <w:rsid w:val="006262F1"/>
    <w:rsid w:val="00635FB8"/>
    <w:rsid w:val="00637B43"/>
    <w:rsid w:val="00640235"/>
    <w:rsid w:val="006407C5"/>
    <w:rsid w:val="00641928"/>
    <w:rsid w:val="00642EA4"/>
    <w:rsid w:val="00643537"/>
    <w:rsid w:val="006467F4"/>
    <w:rsid w:val="006472B1"/>
    <w:rsid w:val="00650113"/>
    <w:rsid w:val="006509E4"/>
    <w:rsid w:val="006526A0"/>
    <w:rsid w:val="00652C37"/>
    <w:rsid w:val="00654343"/>
    <w:rsid w:val="00654C55"/>
    <w:rsid w:val="00655B83"/>
    <w:rsid w:val="0065609D"/>
    <w:rsid w:val="00657176"/>
    <w:rsid w:val="00660A7C"/>
    <w:rsid w:val="00660A8B"/>
    <w:rsid w:val="006660B6"/>
    <w:rsid w:val="00671229"/>
    <w:rsid w:val="00671D2A"/>
    <w:rsid w:val="00671EC3"/>
    <w:rsid w:val="006725C0"/>
    <w:rsid w:val="006727AB"/>
    <w:rsid w:val="006728AD"/>
    <w:rsid w:val="0067406A"/>
    <w:rsid w:val="00685763"/>
    <w:rsid w:val="006861E0"/>
    <w:rsid w:val="006906B9"/>
    <w:rsid w:val="00692C3D"/>
    <w:rsid w:val="0069443B"/>
    <w:rsid w:val="00694E8F"/>
    <w:rsid w:val="00694FDC"/>
    <w:rsid w:val="00695F6E"/>
    <w:rsid w:val="006A0ACF"/>
    <w:rsid w:val="006A0F42"/>
    <w:rsid w:val="006A144C"/>
    <w:rsid w:val="006A275C"/>
    <w:rsid w:val="006A2DDC"/>
    <w:rsid w:val="006A2EC6"/>
    <w:rsid w:val="006A3937"/>
    <w:rsid w:val="006A789B"/>
    <w:rsid w:val="006A7B21"/>
    <w:rsid w:val="006B1692"/>
    <w:rsid w:val="006B31EC"/>
    <w:rsid w:val="006B3C41"/>
    <w:rsid w:val="006B4CD9"/>
    <w:rsid w:val="006B4D2E"/>
    <w:rsid w:val="006B4F5E"/>
    <w:rsid w:val="006B607E"/>
    <w:rsid w:val="006B63FC"/>
    <w:rsid w:val="006B642F"/>
    <w:rsid w:val="006B6FF8"/>
    <w:rsid w:val="006B718B"/>
    <w:rsid w:val="006B756F"/>
    <w:rsid w:val="006B7AB7"/>
    <w:rsid w:val="006C2810"/>
    <w:rsid w:val="006C2CCC"/>
    <w:rsid w:val="006C3E7E"/>
    <w:rsid w:val="006C64EB"/>
    <w:rsid w:val="006C6C65"/>
    <w:rsid w:val="006D0677"/>
    <w:rsid w:val="006D2C9D"/>
    <w:rsid w:val="006D4EC9"/>
    <w:rsid w:val="006D628E"/>
    <w:rsid w:val="006D67D3"/>
    <w:rsid w:val="006E0A2A"/>
    <w:rsid w:val="006E2AFB"/>
    <w:rsid w:val="006E3687"/>
    <w:rsid w:val="006E3D26"/>
    <w:rsid w:val="006E40F6"/>
    <w:rsid w:val="006E5D96"/>
    <w:rsid w:val="006F0A59"/>
    <w:rsid w:val="006F431E"/>
    <w:rsid w:val="0070397F"/>
    <w:rsid w:val="0070591A"/>
    <w:rsid w:val="00707F6F"/>
    <w:rsid w:val="00710333"/>
    <w:rsid w:val="00710581"/>
    <w:rsid w:val="00710873"/>
    <w:rsid w:val="00710C67"/>
    <w:rsid w:val="0071623B"/>
    <w:rsid w:val="00716E58"/>
    <w:rsid w:val="0071733F"/>
    <w:rsid w:val="007174F1"/>
    <w:rsid w:val="00720B3E"/>
    <w:rsid w:val="00720F7D"/>
    <w:rsid w:val="00724447"/>
    <w:rsid w:val="007248B4"/>
    <w:rsid w:val="00724AB2"/>
    <w:rsid w:val="007255FB"/>
    <w:rsid w:val="007258A8"/>
    <w:rsid w:val="00727A63"/>
    <w:rsid w:val="00731FAF"/>
    <w:rsid w:val="0073325B"/>
    <w:rsid w:val="007350DE"/>
    <w:rsid w:val="00736A82"/>
    <w:rsid w:val="0074133A"/>
    <w:rsid w:val="00742129"/>
    <w:rsid w:val="00742DB6"/>
    <w:rsid w:val="00744B93"/>
    <w:rsid w:val="007463A6"/>
    <w:rsid w:val="007470EC"/>
    <w:rsid w:val="0075060C"/>
    <w:rsid w:val="00757082"/>
    <w:rsid w:val="00764E86"/>
    <w:rsid w:val="0076673E"/>
    <w:rsid w:val="007670B4"/>
    <w:rsid w:val="00770274"/>
    <w:rsid w:val="00775BBD"/>
    <w:rsid w:val="0077640E"/>
    <w:rsid w:val="0077716C"/>
    <w:rsid w:val="007773BD"/>
    <w:rsid w:val="00777490"/>
    <w:rsid w:val="007776AE"/>
    <w:rsid w:val="00780546"/>
    <w:rsid w:val="00783845"/>
    <w:rsid w:val="00783E45"/>
    <w:rsid w:val="007847E5"/>
    <w:rsid w:val="007873C6"/>
    <w:rsid w:val="007901FA"/>
    <w:rsid w:val="00794C0A"/>
    <w:rsid w:val="00795EDC"/>
    <w:rsid w:val="00796973"/>
    <w:rsid w:val="007A32BD"/>
    <w:rsid w:val="007A32DD"/>
    <w:rsid w:val="007A60BD"/>
    <w:rsid w:val="007A6DB3"/>
    <w:rsid w:val="007A7D39"/>
    <w:rsid w:val="007B1F8A"/>
    <w:rsid w:val="007B1FAB"/>
    <w:rsid w:val="007B3F97"/>
    <w:rsid w:val="007B5DA7"/>
    <w:rsid w:val="007B6E31"/>
    <w:rsid w:val="007B76D0"/>
    <w:rsid w:val="007B7FBB"/>
    <w:rsid w:val="007C09EF"/>
    <w:rsid w:val="007C0D75"/>
    <w:rsid w:val="007C621F"/>
    <w:rsid w:val="007C66CF"/>
    <w:rsid w:val="007C6785"/>
    <w:rsid w:val="007C7D09"/>
    <w:rsid w:val="007C7F3E"/>
    <w:rsid w:val="007D07D5"/>
    <w:rsid w:val="007D10F3"/>
    <w:rsid w:val="007D3E2C"/>
    <w:rsid w:val="007D3FAD"/>
    <w:rsid w:val="007E0003"/>
    <w:rsid w:val="007E0B63"/>
    <w:rsid w:val="007E1F88"/>
    <w:rsid w:val="007E2C6C"/>
    <w:rsid w:val="007E3B3D"/>
    <w:rsid w:val="007E6D6E"/>
    <w:rsid w:val="007F26D0"/>
    <w:rsid w:val="007F2805"/>
    <w:rsid w:val="007F5379"/>
    <w:rsid w:val="007F5387"/>
    <w:rsid w:val="008007CD"/>
    <w:rsid w:val="008027B4"/>
    <w:rsid w:val="0080375A"/>
    <w:rsid w:val="00804FB5"/>
    <w:rsid w:val="00807E65"/>
    <w:rsid w:val="00810500"/>
    <w:rsid w:val="00810E0D"/>
    <w:rsid w:val="00811310"/>
    <w:rsid w:val="0081150F"/>
    <w:rsid w:val="0081275B"/>
    <w:rsid w:val="00812BA3"/>
    <w:rsid w:val="00812D56"/>
    <w:rsid w:val="008144B1"/>
    <w:rsid w:val="0081683B"/>
    <w:rsid w:val="00821623"/>
    <w:rsid w:val="00821FBC"/>
    <w:rsid w:val="00822D85"/>
    <w:rsid w:val="00823FEB"/>
    <w:rsid w:val="00825E0C"/>
    <w:rsid w:val="00830843"/>
    <w:rsid w:val="00833D34"/>
    <w:rsid w:val="00840343"/>
    <w:rsid w:val="008404AB"/>
    <w:rsid w:val="008407AF"/>
    <w:rsid w:val="00840B91"/>
    <w:rsid w:val="00842E98"/>
    <w:rsid w:val="008435FF"/>
    <w:rsid w:val="008443EB"/>
    <w:rsid w:val="008444B2"/>
    <w:rsid w:val="00845EB7"/>
    <w:rsid w:val="00850A94"/>
    <w:rsid w:val="0085128F"/>
    <w:rsid w:val="00851611"/>
    <w:rsid w:val="008536EB"/>
    <w:rsid w:val="008548AE"/>
    <w:rsid w:val="008551AD"/>
    <w:rsid w:val="00856568"/>
    <w:rsid w:val="008565B0"/>
    <w:rsid w:val="008567B0"/>
    <w:rsid w:val="0086210B"/>
    <w:rsid w:val="008623BF"/>
    <w:rsid w:val="0086359F"/>
    <w:rsid w:val="00863D0C"/>
    <w:rsid w:val="008647F8"/>
    <w:rsid w:val="008666A7"/>
    <w:rsid w:val="00866A80"/>
    <w:rsid w:val="008677E6"/>
    <w:rsid w:val="0086785A"/>
    <w:rsid w:val="00871BAD"/>
    <w:rsid w:val="00871F68"/>
    <w:rsid w:val="008728F7"/>
    <w:rsid w:val="00873036"/>
    <w:rsid w:val="008749AB"/>
    <w:rsid w:val="00874B40"/>
    <w:rsid w:val="0087651C"/>
    <w:rsid w:val="00877AF4"/>
    <w:rsid w:val="008807DF"/>
    <w:rsid w:val="008811EB"/>
    <w:rsid w:val="00883D0C"/>
    <w:rsid w:val="00885756"/>
    <w:rsid w:val="00891324"/>
    <w:rsid w:val="008922B1"/>
    <w:rsid w:val="0089298B"/>
    <w:rsid w:val="008938BD"/>
    <w:rsid w:val="00894BA5"/>
    <w:rsid w:val="008967CB"/>
    <w:rsid w:val="008A1B40"/>
    <w:rsid w:val="008A4A94"/>
    <w:rsid w:val="008A6056"/>
    <w:rsid w:val="008A615E"/>
    <w:rsid w:val="008B07D9"/>
    <w:rsid w:val="008B23D0"/>
    <w:rsid w:val="008B251F"/>
    <w:rsid w:val="008B279C"/>
    <w:rsid w:val="008B4E66"/>
    <w:rsid w:val="008B5186"/>
    <w:rsid w:val="008B6679"/>
    <w:rsid w:val="008B7D1A"/>
    <w:rsid w:val="008C2AAB"/>
    <w:rsid w:val="008C2AE8"/>
    <w:rsid w:val="008C414B"/>
    <w:rsid w:val="008C5216"/>
    <w:rsid w:val="008C5337"/>
    <w:rsid w:val="008C5A2A"/>
    <w:rsid w:val="008D10D2"/>
    <w:rsid w:val="008D6DCB"/>
    <w:rsid w:val="008D7049"/>
    <w:rsid w:val="008E057E"/>
    <w:rsid w:val="008E0887"/>
    <w:rsid w:val="008E2694"/>
    <w:rsid w:val="008E3959"/>
    <w:rsid w:val="008E3B08"/>
    <w:rsid w:val="008E4F4C"/>
    <w:rsid w:val="008E526D"/>
    <w:rsid w:val="008E579B"/>
    <w:rsid w:val="008E60B7"/>
    <w:rsid w:val="008E61C8"/>
    <w:rsid w:val="008E7FEB"/>
    <w:rsid w:val="008F1DF8"/>
    <w:rsid w:val="008F7146"/>
    <w:rsid w:val="009009A6"/>
    <w:rsid w:val="00902339"/>
    <w:rsid w:val="00902844"/>
    <w:rsid w:val="00902A07"/>
    <w:rsid w:val="00903136"/>
    <w:rsid w:val="00904BF1"/>
    <w:rsid w:val="00905F74"/>
    <w:rsid w:val="009119DA"/>
    <w:rsid w:val="009124BC"/>
    <w:rsid w:val="00913B54"/>
    <w:rsid w:val="009149CF"/>
    <w:rsid w:val="0091608F"/>
    <w:rsid w:val="00917780"/>
    <w:rsid w:val="0091791A"/>
    <w:rsid w:val="00921C13"/>
    <w:rsid w:val="00922FE3"/>
    <w:rsid w:val="00925D0E"/>
    <w:rsid w:val="00927725"/>
    <w:rsid w:val="00932D4E"/>
    <w:rsid w:val="009331E9"/>
    <w:rsid w:val="0093330D"/>
    <w:rsid w:val="00934CFE"/>
    <w:rsid w:val="00940765"/>
    <w:rsid w:val="00941548"/>
    <w:rsid w:val="00942570"/>
    <w:rsid w:val="00943EB4"/>
    <w:rsid w:val="009444DA"/>
    <w:rsid w:val="00947895"/>
    <w:rsid w:val="0095091A"/>
    <w:rsid w:val="00952362"/>
    <w:rsid w:val="00952D53"/>
    <w:rsid w:val="00954A9D"/>
    <w:rsid w:val="009553C4"/>
    <w:rsid w:val="009566F5"/>
    <w:rsid w:val="00956A1A"/>
    <w:rsid w:val="00960D78"/>
    <w:rsid w:val="009626B0"/>
    <w:rsid w:val="009637C3"/>
    <w:rsid w:val="00966859"/>
    <w:rsid w:val="00971E3B"/>
    <w:rsid w:val="00980C44"/>
    <w:rsid w:val="00980E5D"/>
    <w:rsid w:val="0098197D"/>
    <w:rsid w:val="0098234A"/>
    <w:rsid w:val="00983A5F"/>
    <w:rsid w:val="00983D14"/>
    <w:rsid w:val="00983E06"/>
    <w:rsid w:val="00985F8A"/>
    <w:rsid w:val="00985FCA"/>
    <w:rsid w:val="00986ED7"/>
    <w:rsid w:val="00990202"/>
    <w:rsid w:val="00991A83"/>
    <w:rsid w:val="009932A2"/>
    <w:rsid w:val="009960AF"/>
    <w:rsid w:val="00996356"/>
    <w:rsid w:val="00996D97"/>
    <w:rsid w:val="00997F39"/>
    <w:rsid w:val="009A1689"/>
    <w:rsid w:val="009A4010"/>
    <w:rsid w:val="009A5480"/>
    <w:rsid w:val="009A6735"/>
    <w:rsid w:val="009B17EE"/>
    <w:rsid w:val="009B2F9E"/>
    <w:rsid w:val="009B3132"/>
    <w:rsid w:val="009B45B1"/>
    <w:rsid w:val="009B4955"/>
    <w:rsid w:val="009B65A8"/>
    <w:rsid w:val="009C1815"/>
    <w:rsid w:val="009C2E1C"/>
    <w:rsid w:val="009C2F9F"/>
    <w:rsid w:val="009C41A9"/>
    <w:rsid w:val="009C41B5"/>
    <w:rsid w:val="009C4244"/>
    <w:rsid w:val="009D176F"/>
    <w:rsid w:val="009D1FE0"/>
    <w:rsid w:val="009D2EE4"/>
    <w:rsid w:val="009D3AEC"/>
    <w:rsid w:val="009D4D16"/>
    <w:rsid w:val="009D6292"/>
    <w:rsid w:val="009D6916"/>
    <w:rsid w:val="009D73F9"/>
    <w:rsid w:val="009E3302"/>
    <w:rsid w:val="009E4F22"/>
    <w:rsid w:val="009E7309"/>
    <w:rsid w:val="009E7795"/>
    <w:rsid w:val="009F1357"/>
    <w:rsid w:val="009F1CFD"/>
    <w:rsid w:val="009F2BA9"/>
    <w:rsid w:val="009F39D5"/>
    <w:rsid w:val="009F3B7C"/>
    <w:rsid w:val="009F5740"/>
    <w:rsid w:val="009F6359"/>
    <w:rsid w:val="009F63A7"/>
    <w:rsid w:val="00A01A80"/>
    <w:rsid w:val="00A0264A"/>
    <w:rsid w:val="00A03C2E"/>
    <w:rsid w:val="00A05092"/>
    <w:rsid w:val="00A051B9"/>
    <w:rsid w:val="00A10A0F"/>
    <w:rsid w:val="00A13084"/>
    <w:rsid w:val="00A13AF8"/>
    <w:rsid w:val="00A168C9"/>
    <w:rsid w:val="00A16997"/>
    <w:rsid w:val="00A22C6D"/>
    <w:rsid w:val="00A25FCA"/>
    <w:rsid w:val="00A315DC"/>
    <w:rsid w:val="00A346B1"/>
    <w:rsid w:val="00A34893"/>
    <w:rsid w:val="00A36B3E"/>
    <w:rsid w:val="00A415E9"/>
    <w:rsid w:val="00A42F93"/>
    <w:rsid w:val="00A46650"/>
    <w:rsid w:val="00A4688C"/>
    <w:rsid w:val="00A46BCC"/>
    <w:rsid w:val="00A53354"/>
    <w:rsid w:val="00A55AAC"/>
    <w:rsid w:val="00A57297"/>
    <w:rsid w:val="00A572F2"/>
    <w:rsid w:val="00A629F8"/>
    <w:rsid w:val="00A6389D"/>
    <w:rsid w:val="00A63C72"/>
    <w:rsid w:val="00A6460C"/>
    <w:rsid w:val="00A647A7"/>
    <w:rsid w:val="00A64BE6"/>
    <w:rsid w:val="00A66497"/>
    <w:rsid w:val="00A6712F"/>
    <w:rsid w:val="00A67FE2"/>
    <w:rsid w:val="00A70430"/>
    <w:rsid w:val="00A70EAA"/>
    <w:rsid w:val="00A71D40"/>
    <w:rsid w:val="00A72083"/>
    <w:rsid w:val="00A72DA6"/>
    <w:rsid w:val="00A7309E"/>
    <w:rsid w:val="00A73FD8"/>
    <w:rsid w:val="00A751E9"/>
    <w:rsid w:val="00A76695"/>
    <w:rsid w:val="00A80C69"/>
    <w:rsid w:val="00A818F0"/>
    <w:rsid w:val="00A8507A"/>
    <w:rsid w:val="00A85853"/>
    <w:rsid w:val="00A86890"/>
    <w:rsid w:val="00A87082"/>
    <w:rsid w:val="00A872EF"/>
    <w:rsid w:val="00A9323D"/>
    <w:rsid w:val="00A93601"/>
    <w:rsid w:val="00A94DD6"/>
    <w:rsid w:val="00A95AA7"/>
    <w:rsid w:val="00A9690C"/>
    <w:rsid w:val="00A96A86"/>
    <w:rsid w:val="00A96B87"/>
    <w:rsid w:val="00AA1977"/>
    <w:rsid w:val="00AA19BE"/>
    <w:rsid w:val="00AA1AD0"/>
    <w:rsid w:val="00AA1B21"/>
    <w:rsid w:val="00AA3577"/>
    <w:rsid w:val="00AA3F1C"/>
    <w:rsid w:val="00AA4B53"/>
    <w:rsid w:val="00AA6CBE"/>
    <w:rsid w:val="00AA749C"/>
    <w:rsid w:val="00AA7529"/>
    <w:rsid w:val="00AA799B"/>
    <w:rsid w:val="00AB1B32"/>
    <w:rsid w:val="00AB2A7B"/>
    <w:rsid w:val="00AB2ACE"/>
    <w:rsid w:val="00AB34E7"/>
    <w:rsid w:val="00AB4760"/>
    <w:rsid w:val="00AB534B"/>
    <w:rsid w:val="00AB6291"/>
    <w:rsid w:val="00AC2E26"/>
    <w:rsid w:val="00AC6535"/>
    <w:rsid w:val="00AC6737"/>
    <w:rsid w:val="00AC7BAB"/>
    <w:rsid w:val="00AD06DD"/>
    <w:rsid w:val="00AD4051"/>
    <w:rsid w:val="00AD40B3"/>
    <w:rsid w:val="00AD5777"/>
    <w:rsid w:val="00AD75CA"/>
    <w:rsid w:val="00AE0046"/>
    <w:rsid w:val="00AE0C5F"/>
    <w:rsid w:val="00AE102E"/>
    <w:rsid w:val="00AE11C5"/>
    <w:rsid w:val="00AE1C3D"/>
    <w:rsid w:val="00AE2CFA"/>
    <w:rsid w:val="00AE68DC"/>
    <w:rsid w:val="00AE693B"/>
    <w:rsid w:val="00AF0BC8"/>
    <w:rsid w:val="00AF1A19"/>
    <w:rsid w:val="00AF1DE6"/>
    <w:rsid w:val="00AF4435"/>
    <w:rsid w:val="00AF4843"/>
    <w:rsid w:val="00AF6905"/>
    <w:rsid w:val="00B01DB6"/>
    <w:rsid w:val="00B04888"/>
    <w:rsid w:val="00B048A1"/>
    <w:rsid w:val="00B129B5"/>
    <w:rsid w:val="00B14733"/>
    <w:rsid w:val="00B20717"/>
    <w:rsid w:val="00B2254B"/>
    <w:rsid w:val="00B233EE"/>
    <w:rsid w:val="00B24418"/>
    <w:rsid w:val="00B246EB"/>
    <w:rsid w:val="00B25DFC"/>
    <w:rsid w:val="00B26E1A"/>
    <w:rsid w:val="00B27D0E"/>
    <w:rsid w:val="00B3060E"/>
    <w:rsid w:val="00B31BAE"/>
    <w:rsid w:val="00B360D8"/>
    <w:rsid w:val="00B368F6"/>
    <w:rsid w:val="00B4554A"/>
    <w:rsid w:val="00B457A2"/>
    <w:rsid w:val="00B51A42"/>
    <w:rsid w:val="00B53111"/>
    <w:rsid w:val="00B5375A"/>
    <w:rsid w:val="00B573B3"/>
    <w:rsid w:val="00B64966"/>
    <w:rsid w:val="00B6652E"/>
    <w:rsid w:val="00B6693C"/>
    <w:rsid w:val="00B707DA"/>
    <w:rsid w:val="00B72461"/>
    <w:rsid w:val="00B7375F"/>
    <w:rsid w:val="00B77F9A"/>
    <w:rsid w:val="00B822F3"/>
    <w:rsid w:val="00B8473C"/>
    <w:rsid w:val="00B852C3"/>
    <w:rsid w:val="00B854ED"/>
    <w:rsid w:val="00B85E93"/>
    <w:rsid w:val="00B862E6"/>
    <w:rsid w:val="00B929F3"/>
    <w:rsid w:val="00B9352B"/>
    <w:rsid w:val="00B93C9D"/>
    <w:rsid w:val="00B947ED"/>
    <w:rsid w:val="00BA1990"/>
    <w:rsid w:val="00BA2D43"/>
    <w:rsid w:val="00BA2D97"/>
    <w:rsid w:val="00BA477F"/>
    <w:rsid w:val="00BA4E70"/>
    <w:rsid w:val="00BA719C"/>
    <w:rsid w:val="00BA7D97"/>
    <w:rsid w:val="00BB03BF"/>
    <w:rsid w:val="00BB0CCA"/>
    <w:rsid w:val="00BB118E"/>
    <w:rsid w:val="00BB1770"/>
    <w:rsid w:val="00BB2C06"/>
    <w:rsid w:val="00BB46E6"/>
    <w:rsid w:val="00BB556B"/>
    <w:rsid w:val="00BB5A0E"/>
    <w:rsid w:val="00BB62A0"/>
    <w:rsid w:val="00BB65C9"/>
    <w:rsid w:val="00BC1DB1"/>
    <w:rsid w:val="00BC5400"/>
    <w:rsid w:val="00BC7899"/>
    <w:rsid w:val="00BD2066"/>
    <w:rsid w:val="00BD30E7"/>
    <w:rsid w:val="00BD312A"/>
    <w:rsid w:val="00BD4EF1"/>
    <w:rsid w:val="00BD6A76"/>
    <w:rsid w:val="00BE1157"/>
    <w:rsid w:val="00BE3B06"/>
    <w:rsid w:val="00BE694D"/>
    <w:rsid w:val="00BE78EE"/>
    <w:rsid w:val="00BF3258"/>
    <w:rsid w:val="00BF3DEB"/>
    <w:rsid w:val="00BF5AED"/>
    <w:rsid w:val="00BF643F"/>
    <w:rsid w:val="00C0033E"/>
    <w:rsid w:val="00C0122C"/>
    <w:rsid w:val="00C03728"/>
    <w:rsid w:val="00C03EED"/>
    <w:rsid w:val="00C04B02"/>
    <w:rsid w:val="00C04C99"/>
    <w:rsid w:val="00C05AFD"/>
    <w:rsid w:val="00C13B90"/>
    <w:rsid w:val="00C14671"/>
    <w:rsid w:val="00C14D72"/>
    <w:rsid w:val="00C16424"/>
    <w:rsid w:val="00C1771A"/>
    <w:rsid w:val="00C20039"/>
    <w:rsid w:val="00C21B27"/>
    <w:rsid w:val="00C2369E"/>
    <w:rsid w:val="00C2406A"/>
    <w:rsid w:val="00C24114"/>
    <w:rsid w:val="00C2486F"/>
    <w:rsid w:val="00C31098"/>
    <w:rsid w:val="00C3227C"/>
    <w:rsid w:val="00C32D38"/>
    <w:rsid w:val="00C34C66"/>
    <w:rsid w:val="00C4118D"/>
    <w:rsid w:val="00C43164"/>
    <w:rsid w:val="00C434F1"/>
    <w:rsid w:val="00C44515"/>
    <w:rsid w:val="00C45F52"/>
    <w:rsid w:val="00C464AF"/>
    <w:rsid w:val="00C468CD"/>
    <w:rsid w:val="00C47E50"/>
    <w:rsid w:val="00C51755"/>
    <w:rsid w:val="00C55165"/>
    <w:rsid w:val="00C56288"/>
    <w:rsid w:val="00C562FA"/>
    <w:rsid w:val="00C56ED7"/>
    <w:rsid w:val="00C574FE"/>
    <w:rsid w:val="00C60403"/>
    <w:rsid w:val="00C613E6"/>
    <w:rsid w:val="00C67000"/>
    <w:rsid w:val="00C6773C"/>
    <w:rsid w:val="00C70DCC"/>
    <w:rsid w:val="00C72633"/>
    <w:rsid w:val="00C72A8E"/>
    <w:rsid w:val="00C741A9"/>
    <w:rsid w:val="00C778D7"/>
    <w:rsid w:val="00C8072D"/>
    <w:rsid w:val="00C809BF"/>
    <w:rsid w:val="00C830B7"/>
    <w:rsid w:val="00C8600C"/>
    <w:rsid w:val="00C867D5"/>
    <w:rsid w:val="00C92397"/>
    <w:rsid w:val="00C92593"/>
    <w:rsid w:val="00C92E28"/>
    <w:rsid w:val="00C936EF"/>
    <w:rsid w:val="00C948B6"/>
    <w:rsid w:val="00C95976"/>
    <w:rsid w:val="00CA0C83"/>
    <w:rsid w:val="00CA1435"/>
    <w:rsid w:val="00CA1748"/>
    <w:rsid w:val="00CA24F5"/>
    <w:rsid w:val="00CA2AC8"/>
    <w:rsid w:val="00CA324D"/>
    <w:rsid w:val="00CA3753"/>
    <w:rsid w:val="00CA7271"/>
    <w:rsid w:val="00CB3ABD"/>
    <w:rsid w:val="00CB4121"/>
    <w:rsid w:val="00CB4D5F"/>
    <w:rsid w:val="00CB5185"/>
    <w:rsid w:val="00CB6C63"/>
    <w:rsid w:val="00CC2059"/>
    <w:rsid w:val="00CC6D93"/>
    <w:rsid w:val="00CD04F2"/>
    <w:rsid w:val="00CD0E9B"/>
    <w:rsid w:val="00CD1ABA"/>
    <w:rsid w:val="00CD31FC"/>
    <w:rsid w:val="00CD3DEB"/>
    <w:rsid w:val="00CD3E5A"/>
    <w:rsid w:val="00CD444E"/>
    <w:rsid w:val="00CD55C3"/>
    <w:rsid w:val="00CD5A23"/>
    <w:rsid w:val="00CE0FAC"/>
    <w:rsid w:val="00CE522B"/>
    <w:rsid w:val="00CF077C"/>
    <w:rsid w:val="00CF0A05"/>
    <w:rsid w:val="00CF151E"/>
    <w:rsid w:val="00CF47C1"/>
    <w:rsid w:val="00CF5004"/>
    <w:rsid w:val="00CF6B33"/>
    <w:rsid w:val="00CF72E3"/>
    <w:rsid w:val="00D0061C"/>
    <w:rsid w:val="00D008EE"/>
    <w:rsid w:val="00D02200"/>
    <w:rsid w:val="00D1024C"/>
    <w:rsid w:val="00D12CF9"/>
    <w:rsid w:val="00D14774"/>
    <w:rsid w:val="00D147E0"/>
    <w:rsid w:val="00D14E35"/>
    <w:rsid w:val="00D15775"/>
    <w:rsid w:val="00D205D7"/>
    <w:rsid w:val="00D23733"/>
    <w:rsid w:val="00D25EEF"/>
    <w:rsid w:val="00D27433"/>
    <w:rsid w:val="00D27722"/>
    <w:rsid w:val="00D42F31"/>
    <w:rsid w:val="00D44A96"/>
    <w:rsid w:val="00D44F92"/>
    <w:rsid w:val="00D4545B"/>
    <w:rsid w:val="00D47969"/>
    <w:rsid w:val="00D50507"/>
    <w:rsid w:val="00D52EAA"/>
    <w:rsid w:val="00D554EB"/>
    <w:rsid w:val="00D61FDD"/>
    <w:rsid w:val="00D6280C"/>
    <w:rsid w:val="00D63AD8"/>
    <w:rsid w:val="00D6732B"/>
    <w:rsid w:val="00D67C46"/>
    <w:rsid w:val="00D74B04"/>
    <w:rsid w:val="00D7617F"/>
    <w:rsid w:val="00D76615"/>
    <w:rsid w:val="00D77AE3"/>
    <w:rsid w:val="00D81F28"/>
    <w:rsid w:val="00D8240F"/>
    <w:rsid w:val="00D90AE1"/>
    <w:rsid w:val="00D938F5"/>
    <w:rsid w:val="00D94D03"/>
    <w:rsid w:val="00D95A89"/>
    <w:rsid w:val="00D95D51"/>
    <w:rsid w:val="00D962F2"/>
    <w:rsid w:val="00D967CF"/>
    <w:rsid w:val="00DA0C7D"/>
    <w:rsid w:val="00DA13A8"/>
    <w:rsid w:val="00DA1C7C"/>
    <w:rsid w:val="00DA2918"/>
    <w:rsid w:val="00DA4521"/>
    <w:rsid w:val="00DA5676"/>
    <w:rsid w:val="00DA69B8"/>
    <w:rsid w:val="00DA712D"/>
    <w:rsid w:val="00DA783C"/>
    <w:rsid w:val="00DB2B59"/>
    <w:rsid w:val="00DB2EA6"/>
    <w:rsid w:val="00DB3294"/>
    <w:rsid w:val="00DB3780"/>
    <w:rsid w:val="00DB3C2E"/>
    <w:rsid w:val="00DB3C3E"/>
    <w:rsid w:val="00DB4087"/>
    <w:rsid w:val="00DB53F0"/>
    <w:rsid w:val="00DB5641"/>
    <w:rsid w:val="00DB62FF"/>
    <w:rsid w:val="00DB7653"/>
    <w:rsid w:val="00DB77CE"/>
    <w:rsid w:val="00DC0B1F"/>
    <w:rsid w:val="00DC1521"/>
    <w:rsid w:val="00DC1920"/>
    <w:rsid w:val="00DC4D29"/>
    <w:rsid w:val="00DC62F8"/>
    <w:rsid w:val="00DD0089"/>
    <w:rsid w:val="00DD04C9"/>
    <w:rsid w:val="00DD1197"/>
    <w:rsid w:val="00DD181D"/>
    <w:rsid w:val="00DD2426"/>
    <w:rsid w:val="00DD2B58"/>
    <w:rsid w:val="00DD409C"/>
    <w:rsid w:val="00DD49D3"/>
    <w:rsid w:val="00DE0BC9"/>
    <w:rsid w:val="00DE28FB"/>
    <w:rsid w:val="00DE360D"/>
    <w:rsid w:val="00DE6119"/>
    <w:rsid w:val="00DF04CF"/>
    <w:rsid w:val="00DF1945"/>
    <w:rsid w:val="00DF380C"/>
    <w:rsid w:val="00DF4D6B"/>
    <w:rsid w:val="00DF5049"/>
    <w:rsid w:val="00DF6A20"/>
    <w:rsid w:val="00E02950"/>
    <w:rsid w:val="00E0317E"/>
    <w:rsid w:val="00E04821"/>
    <w:rsid w:val="00E0651C"/>
    <w:rsid w:val="00E06B46"/>
    <w:rsid w:val="00E11040"/>
    <w:rsid w:val="00E116B5"/>
    <w:rsid w:val="00E13584"/>
    <w:rsid w:val="00E14548"/>
    <w:rsid w:val="00E1527C"/>
    <w:rsid w:val="00E16204"/>
    <w:rsid w:val="00E224D1"/>
    <w:rsid w:val="00E27A39"/>
    <w:rsid w:val="00E27B98"/>
    <w:rsid w:val="00E27E94"/>
    <w:rsid w:val="00E3206B"/>
    <w:rsid w:val="00E32702"/>
    <w:rsid w:val="00E33ED2"/>
    <w:rsid w:val="00E35D28"/>
    <w:rsid w:val="00E36AC8"/>
    <w:rsid w:val="00E36B8A"/>
    <w:rsid w:val="00E37B37"/>
    <w:rsid w:val="00E40289"/>
    <w:rsid w:val="00E423D4"/>
    <w:rsid w:val="00E42A38"/>
    <w:rsid w:val="00E53DF0"/>
    <w:rsid w:val="00E53E7C"/>
    <w:rsid w:val="00E548DC"/>
    <w:rsid w:val="00E54BBF"/>
    <w:rsid w:val="00E61982"/>
    <w:rsid w:val="00E62392"/>
    <w:rsid w:val="00E62539"/>
    <w:rsid w:val="00E648FE"/>
    <w:rsid w:val="00E64FD4"/>
    <w:rsid w:val="00E64FE3"/>
    <w:rsid w:val="00E70DED"/>
    <w:rsid w:val="00E736A3"/>
    <w:rsid w:val="00E7749D"/>
    <w:rsid w:val="00E77857"/>
    <w:rsid w:val="00E813ED"/>
    <w:rsid w:val="00E831C7"/>
    <w:rsid w:val="00E83825"/>
    <w:rsid w:val="00E83984"/>
    <w:rsid w:val="00E83EB0"/>
    <w:rsid w:val="00E85A23"/>
    <w:rsid w:val="00E861C3"/>
    <w:rsid w:val="00E863E4"/>
    <w:rsid w:val="00E867C3"/>
    <w:rsid w:val="00E87DBA"/>
    <w:rsid w:val="00E90AB0"/>
    <w:rsid w:val="00E92DF5"/>
    <w:rsid w:val="00E94D09"/>
    <w:rsid w:val="00E95BC4"/>
    <w:rsid w:val="00E9699F"/>
    <w:rsid w:val="00E97F01"/>
    <w:rsid w:val="00EA082F"/>
    <w:rsid w:val="00EA1877"/>
    <w:rsid w:val="00EA716E"/>
    <w:rsid w:val="00EB04B9"/>
    <w:rsid w:val="00EB0A7C"/>
    <w:rsid w:val="00EB0F5C"/>
    <w:rsid w:val="00EB5EE6"/>
    <w:rsid w:val="00EB638E"/>
    <w:rsid w:val="00EB6871"/>
    <w:rsid w:val="00EC16D9"/>
    <w:rsid w:val="00EC2B63"/>
    <w:rsid w:val="00EC2ECB"/>
    <w:rsid w:val="00EC3683"/>
    <w:rsid w:val="00EC4F6B"/>
    <w:rsid w:val="00ED0E54"/>
    <w:rsid w:val="00ED19F2"/>
    <w:rsid w:val="00ED41A1"/>
    <w:rsid w:val="00ED5A6E"/>
    <w:rsid w:val="00ED67FE"/>
    <w:rsid w:val="00ED7BA6"/>
    <w:rsid w:val="00EE35FF"/>
    <w:rsid w:val="00EE4097"/>
    <w:rsid w:val="00EE41E0"/>
    <w:rsid w:val="00EE441A"/>
    <w:rsid w:val="00EE4E86"/>
    <w:rsid w:val="00EE6851"/>
    <w:rsid w:val="00EF0039"/>
    <w:rsid w:val="00EF1189"/>
    <w:rsid w:val="00EF125B"/>
    <w:rsid w:val="00EF23A4"/>
    <w:rsid w:val="00EF3844"/>
    <w:rsid w:val="00EF64FA"/>
    <w:rsid w:val="00EF70AB"/>
    <w:rsid w:val="00F00414"/>
    <w:rsid w:val="00F00EC1"/>
    <w:rsid w:val="00F01710"/>
    <w:rsid w:val="00F01D7B"/>
    <w:rsid w:val="00F01E61"/>
    <w:rsid w:val="00F02EA4"/>
    <w:rsid w:val="00F04178"/>
    <w:rsid w:val="00F077AC"/>
    <w:rsid w:val="00F07D6A"/>
    <w:rsid w:val="00F10311"/>
    <w:rsid w:val="00F14448"/>
    <w:rsid w:val="00F14FB8"/>
    <w:rsid w:val="00F16CBC"/>
    <w:rsid w:val="00F20988"/>
    <w:rsid w:val="00F21BB1"/>
    <w:rsid w:val="00F24F3A"/>
    <w:rsid w:val="00F273B3"/>
    <w:rsid w:val="00F30A4C"/>
    <w:rsid w:val="00F32B3C"/>
    <w:rsid w:val="00F32BC9"/>
    <w:rsid w:val="00F3393C"/>
    <w:rsid w:val="00F36082"/>
    <w:rsid w:val="00F3774B"/>
    <w:rsid w:val="00F40397"/>
    <w:rsid w:val="00F4116C"/>
    <w:rsid w:val="00F4128A"/>
    <w:rsid w:val="00F42149"/>
    <w:rsid w:val="00F4262A"/>
    <w:rsid w:val="00F42865"/>
    <w:rsid w:val="00F454AF"/>
    <w:rsid w:val="00F45C96"/>
    <w:rsid w:val="00F46960"/>
    <w:rsid w:val="00F47736"/>
    <w:rsid w:val="00F5052E"/>
    <w:rsid w:val="00F53AA5"/>
    <w:rsid w:val="00F542B8"/>
    <w:rsid w:val="00F54E49"/>
    <w:rsid w:val="00F57A22"/>
    <w:rsid w:val="00F61084"/>
    <w:rsid w:val="00F61808"/>
    <w:rsid w:val="00F61EFF"/>
    <w:rsid w:val="00F64794"/>
    <w:rsid w:val="00F67CA0"/>
    <w:rsid w:val="00F67FA3"/>
    <w:rsid w:val="00F71DDC"/>
    <w:rsid w:val="00F722DA"/>
    <w:rsid w:val="00F739E9"/>
    <w:rsid w:val="00F75162"/>
    <w:rsid w:val="00F75A08"/>
    <w:rsid w:val="00F77D99"/>
    <w:rsid w:val="00F82A70"/>
    <w:rsid w:val="00F8475C"/>
    <w:rsid w:val="00F847B6"/>
    <w:rsid w:val="00F860FA"/>
    <w:rsid w:val="00F8615A"/>
    <w:rsid w:val="00F90746"/>
    <w:rsid w:val="00F90944"/>
    <w:rsid w:val="00F91CA8"/>
    <w:rsid w:val="00F93559"/>
    <w:rsid w:val="00F93BCA"/>
    <w:rsid w:val="00F93D35"/>
    <w:rsid w:val="00F9578B"/>
    <w:rsid w:val="00F963A9"/>
    <w:rsid w:val="00F97908"/>
    <w:rsid w:val="00FA3E4B"/>
    <w:rsid w:val="00FA4C5A"/>
    <w:rsid w:val="00FA5465"/>
    <w:rsid w:val="00FA664A"/>
    <w:rsid w:val="00FB02CC"/>
    <w:rsid w:val="00FB0B8E"/>
    <w:rsid w:val="00FB368A"/>
    <w:rsid w:val="00FB4430"/>
    <w:rsid w:val="00FB744F"/>
    <w:rsid w:val="00FC1951"/>
    <w:rsid w:val="00FC1A14"/>
    <w:rsid w:val="00FC25B7"/>
    <w:rsid w:val="00FC2D31"/>
    <w:rsid w:val="00FC3B07"/>
    <w:rsid w:val="00FC3E56"/>
    <w:rsid w:val="00FC5780"/>
    <w:rsid w:val="00FC69A4"/>
    <w:rsid w:val="00FC77E1"/>
    <w:rsid w:val="00FD021D"/>
    <w:rsid w:val="00FD0486"/>
    <w:rsid w:val="00FD29FE"/>
    <w:rsid w:val="00FD40C7"/>
    <w:rsid w:val="00FD7522"/>
    <w:rsid w:val="00FD7A94"/>
    <w:rsid w:val="00FE138E"/>
    <w:rsid w:val="00FE235E"/>
    <w:rsid w:val="00FE2E84"/>
    <w:rsid w:val="00FE3B28"/>
    <w:rsid w:val="00FE513A"/>
    <w:rsid w:val="00FE7B8B"/>
    <w:rsid w:val="00FF0200"/>
    <w:rsid w:val="00FF1CBE"/>
    <w:rsid w:val="00FF399B"/>
    <w:rsid w:val="00FF55B3"/>
    <w:rsid w:val="00FF5832"/>
    <w:rsid w:val="00FF5EAA"/>
    <w:rsid w:val="00FF653F"/>
    <w:rsid w:val="00FF6572"/>
    <w:rsid w:val="00FF68BD"/>
    <w:rsid w:val="00FF74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AF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AU"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732"/>
    <w:pPr>
      <w:tabs>
        <w:tab w:val="right" w:pos="8640"/>
      </w:tabs>
      <w:spacing w:line="480" w:lineRule="auto"/>
    </w:pPr>
    <w:rPr>
      <w:rFonts w:ascii="Times New Roman" w:hAnsi="Times New Roman"/>
      <w:sz w:val="24"/>
      <w:szCs w:val="24"/>
      <w:lang w:val="en-US" w:eastAsia="en-US"/>
    </w:rPr>
  </w:style>
  <w:style w:type="paragraph" w:styleId="Heading1">
    <w:name w:val="heading 1"/>
    <w:basedOn w:val="Normal"/>
    <w:next w:val="Normal"/>
    <w:link w:val="Heading1Char"/>
    <w:uiPriority w:val="99"/>
    <w:qFormat/>
    <w:locked/>
    <w:rsid w:val="0032313C"/>
    <w:pPr>
      <w:keepNext/>
      <w:widowControl w:val="0"/>
      <w:tabs>
        <w:tab w:val="clear" w:pos="8640"/>
      </w:tabs>
      <w:spacing w:after="120" w:line="240" w:lineRule="auto"/>
      <w:ind w:left="567" w:hanging="567"/>
      <w:outlineLvl w:val="0"/>
    </w:pPr>
    <w:rPr>
      <w:rFonts w:ascii="Arial" w:hAnsi="Arial" w:cs="Arial"/>
      <w:b/>
      <w:bCs/>
      <w:sz w:val="20"/>
      <w:szCs w:val="20"/>
      <w:lang w:val="en-AU"/>
    </w:rPr>
  </w:style>
  <w:style w:type="paragraph" w:styleId="Heading3">
    <w:name w:val="heading 3"/>
    <w:basedOn w:val="Normal"/>
    <w:next w:val="Normal"/>
    <w:link w:val="Heading3Char"/>
    <w:semiHidden/>
    <w:unhideWhenUsed/>
    <w:qFormat/>
    <w:locked/>
    <w:rsid w:val="00A818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A818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A818F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13C"/>
    <w:rPr>
      <w:rFonts w:ascii="Arial" w:hAnsi="Arial" w:cs="Arial"/>
      <w:b/>
      <w:bCs/>
      <w:lang w:eastAsia="en-US"/>
    </w:rPr>
  </w:style>
  <w:style w:type="paragraph" w:styleId="BodyText">
    <w:name w:val="Body Text"/>
    <w:basedOn w:val="Normal"/>
    <w:link w:val="BodyTextChar"/>
    <w:uiPriority w:val="99"/>
    <w:rsid w:val="00006732"/>
    <w:pPr>
      <w:ind w:firstLine="720"/>
    </w:pPr>
  </w:style>
  <w:style w:type="character" w:customStyle="1" w:styleId="BodyTextChar">
    <w:name w:val="Body Text Char"/>
    <w:basedOn w:val="DefaultParagraphFont"/>
    <w:link w:val="BodyText"/>
    <w:uiPriority w:val="99"/>
    <w:locked/>
    <w:rsid w:val="00006732"/>
    <w:rPr>
      <w:rFonts w:ascii="Times New Roman" w:eastAsia="SimSun" w:hAnsi="Times New Roman" w:cs="Times New Roman"/>
      <w:sz w:val="24"/>
      <w:szCs w:val="24"/>
      <w:lang w:val="en-US" w:eastAsia="en-US"/>
    </w:rPr>
  </w:style>
  <w:style w:type="paragraph" w:styleId="Subtitle">
    <w:name w:val="Subtitle"/>
    <w:basedOn w:val="Normal"/>
    <w:next w:val="BodyText"/>
    <w:link w:val="SubtitleChar"/>
    <w:uiPriority w:val="99"/>
    <w:qFormat/>
    <w:rsid w:val="00006732"/>
    <w:pPr>
      <w:keepNext/>
      <w:keepLines/>
      <w:ind w:left="1915" w:right="1915"/>
      <w:jc w:val="center"/>
    </w:pPr>
    <w:rPr>
      <w:rFonts w:ascii="Garamond" w:hAnsi="Garamond" w:cs="Garamond"/>
      <w:kern w:val="28"/>
    </w:rPr>
  </w:style>
  <w:style w:type="character" w:customStyle="1" w:styleId="SubtitleChar">
    <w:name w:val="Subtitle Char"/>
    <w:basedOn w:val="DefaultParagraphFont"/>
    <w:link w:val="Subtitle"/>
    <w:uiPriority w:val="99"/>
    <w:locked/>
    <w:rsid w:val="00006732"/>
    <w:rPr>
      <w:rFonts w:ascii="Garamond" w:eastAsia="SimSun" w:hAnsi="Garamond" w:cs="Garamond"/>
      <w:kern w:val="28"/>
      <w:sz w:val="24"/>
      <w:szCs w:val="24"/>
      <w:lang w:val="en-US" w:eastAsia="en-US"/>
    </w:rPr>
  </w:style>
  <w:style w:type="paragraph" w:customStyle="1" w:styleId="StyleRight05">
    <w:name w:val="Style Right:  0.5&quot;"/>
    <w:basedOn w:val="Normal"/>
    <w:uiPriority w:val="99"/>
    <w:rsid w:val="00006732"/>
    <w:pPr>
      <w:ind w:right="720"/>
    </w:pPr>
    <w:rPr>
      <w:rFonts w:ascii="Garamond" w:hAnsi="Garamond" w:cs="Garamond"/>
    </w:rPr>
  </w:style>
  <w:style w:type="paragraph" w:customStyle="1" w:styleId="AuthorInfo">
    <w:name w:val="Author Info"/>
    <w:basedOn w:val="Normal"/>
    <w:uiPriority w:val="99"/>
    <w:rsid w:val="00006732"/>
    <w:pPr>
      <w:jc w:val="center"/>
    </w:pPr>
  </w:style>
  <w:style w:type="paragraph" w:customStyle="1" w:styleId="TitleOfPaperCover">
    <w:name w:val="TitleOfPaper_Cover"/>
    <w:basedOn w:val="Normal"/>
    <w:uiPriority w:val="99"/>
    <w:rsid w:val="00006732"/>
    <w:pPr>
      <w:keepNext/>
      <w:keepLines/>
      <w:jc w:val="center"/>
    </w:pPr>
  </w:style>
  <w:style w:type="paragraph" w:styleId="Header">
    <w:name w:val="header"/>
    <w:basedOn w:val="Normal"/>
    <w:link w:val="HeaderChar"/>
    <w:uiPriority w:val="99"/>
    <w:rsid w:val="00006732"/>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locked/>
    <w:rsid w:val="00006732"/>
    <w:rPr>
      <w:rFonts w:ascii="Times New Roman" w:eastAsia="SimSun" w:hAnsi="Times New Roman" w:cs="Times New Roman"/>
      <w:sz w:val="24"/>
      <w:szCs w:val="24"/>
      <w:lang w:val="en-US" w:eastAsia="en-US"/>
    </w:rPr>
  </w:style>
  <w:style w:type="paragraph" w:styleId="Footer">
    <w:name w:val="footer"/>
    <w:basedOn w:val="Normal"/>
    <w:link w:val="FooterChar"/>
    <w:uiPriority w:val="99"/>
    <w:semiHidden/>
    <w:rsid w:val="00006732"/>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semiHidden/>
    <w:locked/>
    <w:rsid w:val="00006732"/>
    <w:rPr>
      <w:rFonts w:ascii="Times New Roman" w:eastAsia="SimSun" w:hAnsi="Times New Roman" w:cs="Times New Roman"/>
      <w:sz w:val="24"/>
      <w:szCs w:val="24"/>
      <w:lang w:val="en-US" w:eastAsia="en-US"/>
    </w:rPr>
  </w:style>
  <w:style w:type="paragraph" w:customStyle="1" w:styleId="SectionHeading">
    <w:name w:val="SectionHeading"/>
    <w:uiPriority w:val="99"/>
    <w:rsid w:val="00006732"/>
    <w:pPr>
      <w:keepNext/>
      <w:pageBreakBefore/>
      <w:spacing w:line="480" w:lineRule="auto"/>
      <w:jc w:val="center"/>
    </w:pPr>
    <w:rPr>
      <w:rFonts w:ascii="Garamond" w:hAnsi="Garamond" w:cs="Garamond"/>
      <w:sz w:val="24"/>
      <w:szCs w:val="24"/>
      <w:lang w:val="en-US" w:eastAsia="en-US"/>
    </w:rPr>
  </w:style>
  <w:style w:type="paragraph" w:styleId="ListParagraph">
    <w:name w:val="List Paragraph"/>
    <w:basedOn w:val="Normal"/>
    <w:uiPriority w:val="34"/>
    <w:qFormat/>
    <w:rsid w:val="00006732"/>
    <w:pPr>
      <w:ind w:left="720"/>
    </w:pPr>
  </w:style>
  <w:style w:type="character" w:styleId="Hyperlink">
    <w:name w:val="Hyperlink"/>
    <w:basedOn w:val="DefaultParagraphFont"/>
    <w:uiPriority w:val="99"/>
    <w:rsid w:val="00006732"/>
    <w:rPr>
      <w:rFonts w:cs="Times New Roman"/>
      <w:color w:val="0000FF"/>
      <w:u w:val="single"/>
    </w:rPr>
  </w:style>
  <w:style w:type="paragraph" w:customStyle="1" w:styleId="TableHeading">
    <w:name w:val="Table Heading"/>
    <w:basedOn w:val="Normal"/>
    <w:next w:val="Normal"/>
    <w:uiPriority w:val="99"/>
    <w:rsid w:val="00006732"/>
    <w:pPr>
      <w:keepNext/>
      <w:keepLines/>
      <w:tabs>
        <w:tab w:val="clear" w:pos="8640"/>
      </w:tabs>
      <w:suppressAutoHyphens/>
    </w:pPr>
    <w:rPr>
      <w:i/>
      <w:iCs/>
    </w:rPr>
  </w:style>
  <w:style w:type="paragraph" w:styleId="BalloonText">
    <w:name w:val="Balloon Text"/>
    <w:basedOn w:val="Normal"/>
    <w:link w:val="BalloonTextChar"/>
    <w:uiPriority w:val="99"/>
    <w:semiHidden/>
    <w:rsid w:val="008216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1623"/>
    <w:rPr>
      <w:rFonts w:ascii="Tahoma" w:eastAsia="SimSun" w:hAnsi="Tahoma" w:cs="Tahoma"/>
      <w:sz w:val="16"/>
      <w:szCs w:val="16"/>
      <w:lang w:val="en-US" w:eastAsia="en-US"/>
    </w:rPr>
  </w:style>
  <w:style w:type="paragraph" w:styleId="BodyTextIndent3">
    <w:name w:val="Body Text Indent 3"/>
    <w:basedOn w:val="Normal"/>
    <w:link w:val="BodyTextIndent3Char"/>
    <w:uiPriority w:val="99"/>
    <w:semiHidden/>
    <w:rsid w:val="0032313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2313C"/>
    <w:rPr>
      <w:rFonts w:ascii="Times New Roman" w:hAnsi="Times New Roman" w:cs="Times New Roman"/>
      <w:sz w:val="16"/>
      <w:szCs w:val="16"/>
      <w:lang w:val="en-US" w:eastAsia="en-US"/>
    </w:rPr>
  </w:style>
  <w:style w:type="paragraph" w:styleId="BodyTextIndent2">
    <w:name w:val="Body Text Indent 2"/>
    <w:basedOn w:val="Normal"/>
    <w:link w:val="BodyTextIndent2Char"/>
    <w:uiPriority w:val="99"/>
    <w:semiHidden/>
    <w:rsid w:val="0032313C"/>
    <w:pPr>
      <w:spacing w:after="120"/>
      <w:ind w:left="283"/>
    </w:pPr>
  </w:style>
  <w:style w:type="character" w:customStyle="1" w:styleId="BodyTextIndent2Char">
    <w:name w:val="Body Text Indent 2 Char"/>
    <w:basedOn w:val="DefaultParagraphFont"/>
    <w:link w:val="BodyTextIndent2"/>
    <w:uiPriority w:val="99"/>
    <w:semiHidden/>
    <w:locked/>
    <w:rsid w:val="0032313C"/>
    <w:rPr>
      <w:rFonts w:ascii="Times New Roman" w:hAnsi="Times New Roman" w:cs="Times New Roman"/>
      <w:sz w:val="24"/>
      <w:szCs w:val="24"/>
      <w:lang w:val="en-US" w:eastAsia="en-US"/>
    </w:rPr>
  </w:style>
  <w:style w:type="paragraph" w:styleId="BodyText2">
    <w:name w:val="Body Text 2"/>
    <w:basedOn w:val="Normal"/>
    <w:link w:val="BodyText2Char"/>
    <w:uiPriority w:val="99"/>
    <w:semiHidden/>
    <w:rsid w:val="0032313C"/>
    <w:pPr>
      <w:spacing w:after="120"/>
    </w:pPr>
  </w:style>
  <w:style w:type="character" w:customStyle="1" w:styleId="BodyText2Char">
    <w:name w:val="Body Text 2 Char"/>
    <w:basedOn w:val="DefaultParagraphFont"/>
    <w:link w:val="BodyText2"/>
    <w:uiPriority w:val="99"/>
    <w:semiHidden/>
    <w:locked/>
    <w:rsid w:val="0032313C"/>
    <w:rPr>
      <w:rFonts w:ascii="Times New Roman" w:hAnsi="Times New Roman" w:cs="Times New Roman"/>
      <w:sz w:val="24"/>
      <w:szCs w:val="24"/>
      <w:lang w:val="en-US" w:eastAsia="en-US"/>
    </w:rPr>
  </w:style>
  <w:style w:type="paragraph" w:customStyle="1" w:styleId="content">
    <w:name w:val="content"/>
    <w:basedOn w:val="Normal"/>
    <w:uiPriority w:val="99"/>
    <w:rsid w:val="0032313C"/>
    <w:pPr>
      <w:tabs>
        <w:tab w:val="clear" w:pos="8640"/>
      </w:tabs>
      <w:spacing w:before="100" w:beforeAutospacing="1" w:after="100" w:afterAutospacing="1" w:line="240" w:lineRule="auto"/>
    </w:pPr>
    <w:rPr>
      <w:lang w:val="en-GB" w:eastAsia="en-GB"/>
    </w:rPr>
  </w:style>
  <w:style w:type="paragraph" w:styleId="BodyText3">
    <w:name w:val="Body Text 3"/>
    <w:basedOn w:val="Normal"/>
    <w:link w:val="BodyText3Char"/>
    <w:uiPriority w:val="99"/>
    <w:semiHidden/>
    <w:rsid w:val="0032313C"/>
    <w:pPr>
      <w:spacing w:after="120"/>
    </w:pPr>
    <w:rPr>
      <w:sz w:val="16"/>
      <w:szCs w:val="16"/>
    </w:rPr>
  </w:style>
  <w:style w:type="character" w:customStyle="1" w:styleId="BodyText3Char">
    <w:name w:val="Body Text 3 Char"/>
    <w:basedOn w:val="DefaultParagraphFont"/>
    <w:link w:val="BodyText3"/>
    <w:uiPriority w:val="99"/>
    <w:semiHidden/>
    <w:locked/>
    <w:rsid w:val="0032313C"/>
    <w:rPr>
      <w:rFonts w:ascii="Times New Roman" w:hAnsi="Times New Roman" w:cs="Times New Roman"/>
      <w:sz w:val="16"/>
      <w:szCs w:val="16"/>
      <w:lang w:val="en-US" w:eastAsia="en-US"/>
    </w:rPr>
  </w:style>
  <w:style w:type="paragraph" w:styleId="NormalWeb">
    <w:name w:val="Normal (Web)"/>
    <w:basedOn w:val="Normal"/>
    <w:uiPriority w:val="99"/>
    <w:rsid w:val="0032313C"/>
    <w:pPr>
      <w:tabs>
        <w:tab w:val="clear" w:pos="8640"/>
      </w:tabs>
      <w:spacing w:before="100" w:beforeAutospacing="1" w:after="100" w:afterAutospacing="1" w:line="240" w:lineRule="auto"/>
    </w:pPr>
    <w:rPr>
      <w:lang w:val="en-GB" w:eastAsia="en-GB"/>
    </w:rPr>
  </w:style>
  <w:style w:type="table" w:styleId="TableGrid">
    <w:name w:val="Table Grid"/>
    <w:basedOn w:val="TableNormal"/>
    <w:uiPriority w:val="59"/>
    <w:locked/>
    <w:rsid w:val="006E3D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31E23"/>
    <w:rPr>
      <w:rFonts w:cs="Times New Roman"/>
      <w:sz w:val="16"/>
      <w:szCs w:val="16"/>
    </w:rPr>
  </w:style>
  <w:style w:type="paragraph" w:styleId="CommentText">
    <w:name w:val="annotation text"/>
    <w:basedOn w:val="Normal"/>
    <w:link w:val="CommentTextChar"/>
    <w:uiPriority w:val="99"/>
    <w:semiHidden/>
    <w:rsid w:val="00331E2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31E23"/>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rsid w:val="00331E23"/>
    <w:rPr>
      <w:b/>
      <w:bCs/>
    </w:rPr>
  </w:style>
  <w:style w:type="character" w:customStyle="1" w:styleId="CommentSubjectChar">
    <w:name w:val="Comment Subject Char"/>
    <w:basedOn w:val="CommentTextChar"/>
    <w:link w:val="CommentSubject"/>
    <w:uiPriority w:val="99"/>
    <w:semiHidden/>
    <w:locked/>
    <w:rsid w:val="00331E23"/>
    <w:rPr>
      <w:rFonts w:ascii="Times New Roman" w:hAnsi="Times New Roman" w:cs="Times New Roman"/>
      <w:b/>
      <w:bCs/>
      <w:lang w:val="en-US" w:eastAsia="en-US"/>
    </w:rPr>
  </w:style>
  <w:style w:type="character" w:customStyle="1" w:styleId="Heading4Char">
    <w:name w:val="Heading 4 Char"/>
    <w:basedOn w:val="DefaultParagraphFont"/>
    <w:link w:val="Heading4"/>
    <w:uiPriority w:val="9"/>
    <w:rsid w:val="00A818F0"/>
    <w:rPr>
      <w:rFonts w:asciiTheme="majorHAnsi" w:eastAsiaTheme="majorEastAsia" w:hAnsiTheme="majorHAnsi" w:cstheme="majorBidi"/>
      <w:b/>
      <w:bCs/>
      <w:i/>
      <w:iCs/>
      <w:color w:val="4F81BD" w:themeColor="accent1"/>
      <w:sz w:val="24"/>
      <w:szCs w:val="24"/>
      <w:lang w:val="en-US" w:eastAsia="en-US"/>
    </w:rPr>
  </w:style>
  <w:style w:type="character" w:customStyle="1" w:styleId="Heading3Char">
    <w:name w:val="Heading 3 Char"/>
    <w:basedOn w:val="DefaultParagraphFont"/>
    <w:link w:val="Heading3"/>
    <w:uiPriority w:val="9"/>
    <w:rsid w:val="00A818F0"/>
    <w:rPr>
      <w:rFonts w:asciiTheme="majorHAnsi" w:eastAsiaTheme="majorEastAsia" w:hAnsiTheme="majorHAnsi" w:cstheme="majorBidi"/>
      <w:b/>
      <w:bCs/>
      <w:color w:val="4F81BD" w:themeColor="accent1"/>
      <w:sz w:val="24"/>
      <w:szCs w:val="24"/>
      <w:lang w:val="en-US" w:eastAsia="en-US"/>
    </w:rPr>
  </w:style>
  <w:style w:type="character" w:customStyle="1" w:styleId="Heading5Char">
    <w:name w:val="Heading 5 Char"/>
    <w:basedOn w:val="DefaultParagraphFont"/>
    <w:link w:val="Heading5"/>
    <w:uiPriority w:val="9"/>
    <w:rsid w:val="00A818F0"/>
    <w:rPr>
      <w:rFonts w:asciiTheme="majorHAnsi" w:eastAsiaTheme="majorEastAsia" w:hAnsiTheme="majorHAnsi" w:cstheme="majorBidi"/>
      <w:color w:val="243F60" w:themeColor="accent1" w:themeShade="7F"/>
      <w:sz w:val="24"/>
      <w:szCs w:val="24"/>
      <w:lang w:val="en-US" w:eastAsia="en-US"/>
    </w:rPr>
  </w:style>
  <w:style w:type="paragraph" w:customStyle="1" w:styleId="ANPhDThesisBody">
    <w:name w:val="AN PhD Thesis Body"/>
    <w:basedOn w:val="Normal"/>
    <w:qFormat/>
    <w:rsid w:val="00A818F0"/>
    <w:pPr>
      <w:widowControl w:val="0"/>
      <w:tabs>
        <w:tab w:val="clear" w:pos="8640"/>
        <w:tab w:val="left" w:pos="357"/>
      </w:tabs>
      <w:suppressAutoHyphens/>
      <w:ind w:firstLine="357"/>
    </w:pPr>
    <w:rPr>
      <w:rFonts w:eastAsia="Times New Roman"/>
      <w:szCs w:val="22"/>
      <w:lang w:val="en-AU" w:eastAsia="zh-CN"/>
    </w:rPr>
  </w:style>
  <w:style w:type="paragraph" w:customStyle="1" w:styleId="ANPhDThesisTitlePage">
    <w:name w:val="AN PhD Thesis Title Page"/>
    <w:basedOn w:val="ANPhDThesisBody"/>
    <w:next w:val="ANPhDThesisBody"/>
    <w:qFormat/>
    <w:rsid w:val="006A0F42"/>
    <w:pPr>
      <w:ind w:firstLine="0"/>
    </w:pPr>
  </w:style>
  <w:style w:type="character" w:styleId="Emphasis">
    <w:name w:val="Emphasis"/>
    <w:uiPriority w:val="20"/>
    <w:qFormat/>
    <w:locked/>
    <w:rsid w:val="006A0F42"/>
    <w:rPr>
      <w:i/>
      <w:iCs/>
    </w:rPr>
  </w:style>
  <w:style w:type="paragraph" w:styleId="TOC9">
    <w:name w:val="toc 9"/>
    <w:basedOn w:val="Normal"/>
    <w:next w:val="Normal"/>
    <w:autoRedefine/>
    <w:uiPriority w:val="39"/>
    <w:unhideWhenUsed/>
    <w:locked/>
    <w:rsid w:val="004233DD"/>
    <w:pPr>
      <w:tabs>
        <w:tab w:val="clear" w:pos="8640"/>
      </w:tabs>
      <w:spacing w:after="100" w:line="259" w:lineRule="auto"/>
      <w:ind w:left="1760"/>
    </w:pPr>
    <w:rPr>
      <w:rFonts w:ascii="Calibri" w:eastAsia="Times New Roman" w:hAnsi="Calibri"/>
      <w:sz w:val="22"/>
      <w:szCs w:val="22"/>
      <w:lang w:val="en-AU" w:eastAsia="en-AU"/>
    </w:rPr>
  </w:style>
  <w:style w:type="paragraph" w:customStyle="1" w:styleId="EndNoteBibliography">
    <w:name w:val="EndNote Bibliography"/>
    <w:basedOn w:val="Normal"/>
    <w:link w:val="EndNoteBibliographyChar"/>
    <w:rsid w:val="006B756F"/>
    <w:pPr>
      <w:tabs>
        <w:tab w:val="clear" w:pos="8640"/>
      </w:tabs>
      <w:spacing w:after="120" w:line="240" w:lineRule="auto"/>
      <w:ind w:left="720" w:hanging="720"/>
    </w:pPr>
    <w:rPr>
      <w:rFonts w:eastAsiaTheme="minorHAnsi"/>
      <w:noProof/>
      <w:sz w:val="22"/>
      <w:szCs w:val="22"/>
    </w:rPr>
  </w:style>
  <w:style w:type="character" w:customStyle="1" w:styleId="EndNoteBibliographyChar">
    <w:name w:val="EndNote Bibliography Char"/>
    <w:basedOn w:val="DefaultParagraphFont"/>
    <w:link w:val="EndNoteBibliography"/>
    <w:rsid w:val="006B756F"/>
    <w:rPr>
      <w:rFonts w:ascii="Times New Roman" w:eastAsiaTheme="minorHAnsi" w:hAnsi="Times New Roman"/>
      <w:noProof/>
      <w:lang w:val="en-US" w:eastAsia="en-US"/>
    </w:rPr>
  </w:style>
  <w:style w:type="character" w:customStyle="1" w:styleId="notranslate">
    <w:name w:val="notranslate"/>
    <w:basedOn w:val="DefaultParagraphFont"/>
    <w:rsid w:val="00C2486F"/>
  </w:style>
  <w:style w:type="character" w:customStyle="1" w:styleId="google-src-text1">
    <w:name w:val="google-src-text1"/>
    <w:basedOn w:val="DefaultParagraphFont"/>
    <w:rsid w:val="00C2486F"/>
    <w:rPr>
      <w:vanish/>
      <w:webHidden w:val="0"/>
      <w:specVanish w:val="0"/>
    </w:rPr>
  </w:style>
  <w:style w:type="character" w:customStyle="1" w:styleId="bibusindexbase">
    <w:name w:val="bibus_index_base"/>
    <w:rsid w:val="000A6AC5"/>
    <w:rPr>
      <w:position w:val="0"/>
      <w:sz w:val="24"/>
      <w:vertAlign w:val="baseline"/>
    </w:rPr>
  </w:style>
  <w:style w:type="character" w:customStyle="1" w:styleId="bibusindexbasei">
    <w:name w:val="bibus_index_basei"/>
    <w:rsid w:val="000A6AC5"/>
    <w:rPr>
      <w:i/>
      <w:position w:val="0"/>
      <w:sz w:val="24"/>
      <w:vertAlign w:val="baseline"/>
    </w:rPr>
  </w:style>
  <w:style w:type="paragraph" w:customStyle="1" w:styleId="Bibliografa1">
    <w:name w:val="Bibliografía 1"/>
    <w:basedOn w:val="Normal"/>
    <w:rsid w:val="000A6AC5"/>
    <w:pPr>
      <w:widowControl w:val="0"/>
      <w:suppressLineNumbers/>
      <w:tabs>
        <w:tab w:val="clear" w:pos="8640"/>
        <w:tab w:val="right" w:leader="dot" w:pos="9637"/>
      </w:tabs>
      <w:suppressAutoHyphens/>
      <w:spacing w:line="240" w:lineRule="auto"/>
    </w:pPr>
    <w:rPr>
      <w:rFonts w:eastAsia="DejaVu Sans" w:cs="Tahoma"/>
      <w:kern w:val="1"/>
      <w:lang w:eastAsia="zh-CN"/>
    </w:rPr>
  </w:style>
  <w:style w:type="character" w:customStyle="1" w:styleId="apple-converted-space">
    <w:name w:val="apple-converted-space"/>
    <w:basedOn w:val="DefaultParagraphFont"/>
    <w:rsid w:val="00235CBB"/>
  </w:style>
  <w:style w:type="character" w:customStyle="1" w:styleId="avw">
    <w:name w:val="avw"/>
    <w:basedOn w:val="DefaultParagraphFont"/>
    <w:rsid w:val="00235CBB"/>
  </w:style>
  <w:style w:type="character" w:customStyle="1" w:styleId="hithilite">
    <w:name w:val="hithilite"/>
    <w:basedOn w:val="DefaultParagraphFont"/>
    <w:rsid w:val="008E057E"/>
  </w:style>
  <w:style w:type="paragraph" w:customStyle="1" w:styleId="frfield">
    <w:name w:val="fr_field"/>
    <w:basedOn w:val="Normal"/>
    <w:rsid w:val="008E057E"/>
    <w:pPr>
      <w:tabs>
        <w:tab w:val="clear" w:pos="8640"/>
      </w:tabs>
      <w:spacing w:before="100" w:beforeAutospacing="1" w:after="100" w:afterAutospacing="1" w:line="240" w:lineRule="auto"/>
    </w:pPr>
    <w:rPr>
      <w:rFonts w:eastAsia="Times New Roman"/>
      <w:lang w:val="en-GB" w:eastAsia="en-GB"/>
    </w:rPr>
  </w:style>
  <w:style w:type="character" w:customStyle="1" w:styleId="frlabel">
    <w:name w:val="fr_label"/>
    <w:basedOn w:val="DefaultParagraphFont"/>
    <w:rsid w:val="008E057E"/>
  </w:style>
  <w:style w:type="paragraph" w:customStyle="1" w:styleId="sourcetitle">
    <w:name w:val="sourcetitle"/>
    <w:basedOn w:val="Normal"/>
    <w:rsid w:val="008E057E"/>
    <w:pPr>
      <w:tabs>
        <w:tab w:val="clear" w:pos="8640"/>
      </w:tabs>
      <w:spacing w:before="100" w:beforeAutospacing="1" w:after="100" w:afterAutospacing="1" w:line="240" w:lineRule="auto"/>
    </w:pPr>
    <w:rPr>
      <w:rFonts w:eastAsia="Times New Roman"/>
      <w:lang w:val="en-GB" w:eastAsia="en-GB"/>
    </w:rPr>
  </w:style>
  <w:style w:type="paragraph" w:customStyle="1" w:styleId="frlabel1">
    <w:name w:val="fr_label1"/>
    <w:basedOn w:val="Normal"/>
    <w:rsid w:val="008E057E"/>
    <w:pPr>
      <w:tabs>
        <w:tab w:val="clear" w:pos="8640"/>
      </w:tabs>
      <w:spacing w:before="100" w:beforeAutospacing="1" w:after="100" w:afterAutospacing="1" w:line="240" w:lineRule="auto"/>
    </w:pPr>
    <w:rPr>
      <w:rFonts w:eastAsia="Times New Roman"/>
      <w:lang w:val="en-GB" w:eastAsia="en-GB"/>
    </w:rPr>
  </w:style>
  <w:style w:type="character" w:customStyle="1" w:styleId="Title1">
    <w:name w:val="Title1"/>
    <w:basedOn w:val="DefaultParagraphFont"/>
    <w:rsid w:val="008E3959"/>
  </w:style>
  <w:style w:type="character" w:customStyle="1" w:styleId="speaker">
    <w:name w:val="speaker"/>
    <w:basedOn w:val="DefaultParagraphFont"/>
    <w:rsid w:val="008E3959"/>
  </w:style>
  <w:style w:type="character" w:customStyle="1" w:styleId="slug-vol">
    <w:name w:val="slug-vol"/>
    <w:basedOn w:val="DefaultParagraphFont"/>
    <w:rsid w:val="00A46BCC"/>
  </w:style>
  <w:style w:type="character" w:customStyle="1" w:styleId="slug-pages3">
    <w:name w:val="slug-pages3"/>
    <w:basedOn w:val="DefaultParagraphFont"/>
    <w:rsid w:val="00A46BC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AU"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732"/>
    <w:pPr>
      <w:tabs>
        <w:tab w:val="right" w:pos="8640"/>
      </w:tabs>
      <w:spacing w:line="480" w:lineRule="auto"/>
    </w:pPr>
    <w:rPr>
      <w:rFonts w:ascii="Times New Roman" w:hAnsi="Times New Roman"/>
      <w:sz w:val="24"/>
      <w:szCs w:val="24"/>
      <w:lang w:val="en-US" w:eastAsia="en-US"/>
    </w:rPr>
  </w:style>
  <w:style w:type="paragraph" w:styleId="Heading1">
    <w:name w:val="heading 1"/>
    <w:basedOn w:val="Normal"/>
    <w:next w:val="Normal"/>
    <w:link w:val="Heading1Char"/>
    <w:uiPriority w:val="99"/>
    <w:qFormat/>
    <w:locked/>
    <w:rsid w:val="0032313C"/>
    <w:pPr>
      <w:keepNext/>
      <w:widowControl w:val="0"/>
      <w:tabs>
        <w:tab w:val="clear" w:pos="8640"/>
      </w:tabs>
      <w:spacing w:after="120" w:line="240" w:lineRule="auto"/>
      <w:ind w:left="567" w:hanging="567"/>
      <w:outlineLvl w:val="0"/>
    </w:pPr>
    <w:rPr>
      <w:rFonts w:ascii="Arial" w:hAnsi="Arial" w:cs="Arial"/>
      <w:b/>
      <w:bCs/>
      <w:sz w:val="20"/>
      <w:szCs w:val="20"/>
      <w:lang w:val="en-AU"/>
    </w:rPr>
  </w:style>
  <w:style w:type="paragraph" w:styleId="Heading3">
    <w:name w:val="heading 3"/>
    <w:basedOn w:val="Normal"/>
    <w:next w:val="Normal"/>
    <w:link w:val="Heading3Char"/>
    <w:semiHidden/>
    <w:unhideWhenUsed/>
    <w:qFormat/>
    <w:locked/>
    <w:rsid w:val="00A818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A818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A818F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13C"/>
    <w:rPr>
      <w:rFonts w:ascii="Arial" w:hAnsi="Arial" w:cs="Arial"/>
      <w:b/>
      <w:bCs/>
      <w:lang w:eastAsia="en-US"/>
    </w:rPr>
  </w:style>
  <w:style w:type="paragraph" w:styleId="BodyText">
    <w:name w:val="Body Text"/>
    <w:basedOn w:val="Normal"/>
    <w:link w:val="BodyTextChar"/>
    <w:uiPriority w:val="99"/>
    <w:rsid w:val="00006732"/>
    <w:pPr>
      <w:ind w:firstLine="720"/>
    </w:pPr>
  </w:style>
  <w:style w:type="character" w:customStyle="1" w:styleId="BodyTextChar">
    <w:name w:val="Body Text Char"/>
    <w:basedOn w:val="DefaultParagraphFont"/>
    <w:link w:val="BodyText"/>
    <w:uiPriority w:val="99"/>
    <w:locked/>
    <w:rsid w:val="00006732"/>
    <w:rPr>
      <w:rFonts w:ascii="Times New Roman" w:eastAsia="SimSun" w:hAnsi="Times New Roman" w:cs="Times New Roman"/>
      <w:sz w:val="24"/>
      <w:szCs w:val="24"/>
      <w:lang w:val="en-US" w:eastAsia="en-US"/>
    </w:rPr>
  </w:style>
  <w:style w:type="paragraph" w:styleId="Subtitle">
    <w:name w:val="Subtitle"/>
    <w:basedOn w:val="Normal"/>
    <w:next w:val="BodyText"/>
    <w:link w:val="SubtitleChar"/>
    <w:uiPriority w:val="99"/>
    <w:qFormat/>
    <w:rsid w:val="00006732"/>
    <w:pPr>
      <w:keepNext/>
      <w:keepLines/>
      <w:ind w:left="1915" w:right="1915"/>
      <w:jc w:val="center"/>
    </w:pPr>
    <w:rPr>
      <w:rFonts w:ascii="Garamond" w:hAnsi="Garamond" w:cs="Garamond"/>
      <w:kern w:val="28"/>
    </w:rPr>
  </w:style>
  <w:style w:type="character" w:customStyle="1" w:styleId="SubtitleChar">
    <w:name w:val="Subtitle Char"/>
    <w:basedOn w:val="DefaultParagraphFont"/>
    <w:link w:val="Subtitle"/>
    <w:uiPriority w:val="99"/>
    <w:locked/>
    <w:rsid w:val="00006732"/>
    <w:rPr>
      <w:rFonts w:ascii="Garamond" w:eastAsia="SimSun" w:hAnsi="Garamond" w:cs="Garamond"/>
      <w:kern w:val="28"/>
      <w:sz w:val="24"/>
      <w:szCs w:val="24"/>
      <w:lang w:val="en-US" w:eastAsia="en-US"/>
    </w:rPr>
  </w:style>
  <w:style w:type="paragraph" w:customStyle="1" w:styleId="StyleRight05">
    <w:name w:val="Style Right:  0.5&quot;"/>
    <w:basedOn w:val="Normal"/>
    <w:uiPriority w:val="99"/>
    <w:rsid w:val="00006732"/>
    <w:pPr>
      <w:ind w:right="720"/>
    </w:pPr>
    <w:rPr>
      <w:rFonts w:ascii="Garamond" w:hAnsi="Garamond" w:cs="Garamond"/>
    </w:rPr>
  </w:style>
  <w:style w:type="paragraph" w:customStyle="1" w:styleId="AuthorInfo">
    <w:name w:val="Author Info"/>
    <w:basedOn w:val="Normal"/>
    <w:uiPriority w:val="99"/>
    <w:rsid w:val="00006732"/>
    <w:pPr>
      <w:jc w:val="center"/>
    </w:pPr>
  </w:style>
  <w:style w:type="paragraph" w:customStyle="1" w:styleId="TitleOfPaperCover">
    <w:name w:val="TitleOfPaper_Cover"/>
    <w:basedOn w:val="Normal"/>
    <w:uiPriority w:val="99"/>
    <w:rsid w:val="00006732"/>
    <w:pPr>
      <w:keepNext/>
      <w:keepLines/>
      <w:jc w:val="center"/>
    </w:pPr>
  </w:style>
  <w:style w:type="paragraph" w:styleId="Header">
    <w:name w:val="header"/>
    <w:basedOn w:val="Normal"/>
    <w:link w:val="HeaderChar"/>
    <w:uiPriority w:val="99"/>
    <w:rsid w:val="00006732"/>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locked/>
    <w:rsid w:val="00006732"/>
    <w:rPr>
      <w:rFonts w:ascii="Times New Roman" w:eastAsia="SimSun" w:hAnsi="Times New Roman" w:cs="Times New Roman"/>
      <w:sz w:val="24"/>
      <w:szCs w:val="24"/>
      <w:lang w:val="en-US" w:eastAsia="en-US"/>
    </w:rPr>
  </w:style>
  <w:style w:type="paragraph" w:styleId="Footer">
    <w:name w:val="footer"/>
    <w:basedOn w:val="Normal"/>
    <w:link w:val="FooterChar"/>
    <w:uiPriority w:val="99"/>
    <w:semiHidden/>
    <w:rsid w:val="00006732"/>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semiHidden/>
    <w:locked/>
    <w:rsid w:val="00006732"/>
    <w:rPr>
      <w:rFonts w:ascii="Times New Roman" w:eastAsia="SimSun" w:hAnsi="Times New Roman" w:cs="Times New Roman"/>
      <w:sz w:val="24"/>
      <w:szCs w:val="24"/>
      <w:lang w:val="en-US" w:eastAsia="en-US"/>
    </w:rPr>
  </w:style>
  <w:style w:type="paragraph" w:customStyle="1" w:styleId="SectionHeading">
    <w:name w:val="SectionHeading"/>
    <w:uiPriority w:val="99"/>
    <w:rsid w:val="00006732"/>
    <w:pPr>
      <w:keepNext/>
      <w:pageBreakBefore/>
      <w:spacing w:line="480" w:lineRule="auto"/>
      <w:jc w:val="center"/>
    </w:pPr>
    <w:rPr>
      <w:rFonts w:ascii="Garamond" w:hAnsi="Garamond" w:cs="Garamond"/>
      <w:sz w:val="24"/>
      <w:szCs w:val="24"/>
      <w:lang w:val="en-US" w:eastAsia="en-US"/>
    </w:rPr>
  </w:style>
  <w:style w:type="paragraph" w:styleId="ListParagraph">
    <w:name w:val="List Paragraph"/>
    <w:basedOn w:val="Normal"/>
    <w:uiPriority w:val="34"/>
    <w:qFormat/>
    <w:rsid w:val="00006732"/>
    <w:pPr>
      <w:ind w:left="720"/>
    </w:pPr>
  </w:style>
  <w:style w:type="character" w:styleId="Hyperlink">
    <w:name w:val="Hyperlink"/>
    <w:basedOn w:val="DefaultParagraphFont"/>
    <w:uiPriority w:val="99"/>
    <w:rsid w:val="00006732"/>
    <w:rPr>
      <w:rFonts w:cs="Times New Roman"/>
      <w:color w:val="0000FF"/>
      <w:u w:val="single"/>
    </w:rPr>
  </w:style>
  <w:style w:type="paragraph" w:customStyle="1" w:styleId="TableHeading">
    <w:name w:val="Table Heading"/>
    <w:basedOn w:val="Normal"/>
    <w:next w:val="Normal"/>
    <w:uiPriority w:val="99"/>
    <w:rsid w:val="00006732"/>
    <w:pPr>
      <w:keepNext/>
      <w:keepLines/>
      <w:tabs>
        <w:tab w:val="clear" w:pos="8640"/>
      </w:tabs>
      <w:suppressAutoHyphens/>
    </w:pPr>
    <w:rPr>
      <w:i/>
      <w:iCs/>
    </w:rPr>
  </w:style>
  <w:style w:type="paragraph" w:styleId="BalloonText">
    <w:name w:val="Balloon Text"/>
    <w:basedOn w:val="Normal"/>
    <w:link w:val="BalloonTextChar"/>
    <w:uiPriority w:val="99"/>
    <w:semiHidden/>
    <w:rsid w:val="008216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1623"/>
    <w:rPr>
      <w:rFonts w:ascii="Tahoma" w:eastAsia="SimSun" w:hAnsi="Tahoma" w:cs="Tahoma"/>
      <w:sz w:val="16"/>
      <w:szCs w:val="16"/>
      <w:lang w:val="en-US" w:eastAsia="en-US"/>
    </w:rPr>
  </w:style>
  <w:style w:type="paragraph" w:styleId="BodyTextIndent3">
    <w:name w:val="Body Text Indent 3"/>
    <w:basedOn w:val="Normal"/>
    <w:link w:val="BodyTextIndent3Char"/>
    <w:uiPriority w:val="99"/>
    <w:semiHidden/>
    <w:rsid w:val="0032313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2313C"/>
    <w:rPr>
      <w:rFonts w:ascii="Times New Roman" w:hAnsi="Times New Roman" w:cs="Times New Roman"/>
      <w:sz w:val="16"/>
      <w:szCs w:val="16"/>
      <w:lang w:val="en-US" w:eastAsia="en-US"/>
    </w:rPr>
  </w:style>
  <w:style w:type="paragraph" w:styleId="BodyTextIndent2">
    <w:name w:val="Body Text Indent 2"/>
    <w:basedOn w:val="Normal"/>
    <w:link w:val="BodyTextIndent2Char"/>
    <w:uiPriority w:val="99"/>
    <w:semiHidden/>
    <w:rsid w:val="0032313C"/>
    <w:pPr>
      <w:spacing w:after="120"/>
      <w:ind w:left="283"/>
    </w:pPr>
  </w:style>
  <w:style w:type="character" w:customStyle="1" w:styleId="BodyTextIndent2Char">
    <w:name w:val="Body Text Indent 2 Char"/>
    <w:basedOn w:val="DefaultParagraphFont"/>
    <w:link w:val="BodyTextIndent2"/>
    <w:uiPriority w:val="99"/>
    <w:semiHidden/>
    <w:locked/>
    <w:rsid w:val="0032313C"/>
    <w:rPr>
      <w:rFonts w:ascii="Times New Roman" w:hAnsi="Times New Roman" w:cs="Times New Roman"/>
      <w:sz w:val="24"/>
      <w:szCs w:val="24"/>
      <w:lang w:val="en-US" w:eastAsia="en-US"/>
    </w:rPr>
  </w:style>
  <w:style w:type="paragraph" w:styleId="BodyText2">
    <w:name w:val="Body Text 2"/>
    <w:basedOn w:val="Normal"/>
    <w:link w:val="BodyText2Char"/>
    <w:uiPriority w:val="99"/>
    <w:semiHidden/>
    <w:rsid w:val="0032313C"/>
    <w:pPr>
      <w:spacing w:after="120"/>
    </w:pPr>
  </w:style>
  <w:style w:type="character" w:customStyle="1" w:styleId="BodyText2Char">
    <w:name w:val="Body Text 2 Char"/>
    <w:basedOn w:val="DefaultParagraphFont"/>
    <w:link w:val="BodyText2"/>
    <w:uiPriority w:val="99"/>
    <w:semiHidden/>
    <w:locked/>
    <w:rsid w:val="0032313C"/>
    <w:rPr>
      <w:rFonts w:ascii="Times New Roman" w:hAnsi="Times New Roman" w:cs="Times New Roman"/>
      <w:sz w:val="24"/>
      <w:szCs w:val="24"/>
      <w:lang w:val="en-US" w:eastAsia="en-US"/>
    </w:rPr>
  </w:style>
  <w:style w:type="paragraph" w:customStyle="1" w:styleId="content">
    <w:name w:val="content"/>
    <w:basedOn w:val="Normal"/>
    <w:uiPriority w:val="99"/>
    <w:rsid w:val="0032313C"/>
    <w:pPr>
      <w:tabs>
        <w:tab w:val="clear" w:pos="8640"/>
      </w:tabs>
      <w:spacing w:before="100" w:beforeAutospacing="1" w:after="100" w:afterAutospacing="1" w:line="240" w:lineRule="auto"/>
    </w:pPr>
    <w:rPr>
      <w:lang w:val="en-GB" w:eastAsia="en-GB"/>
    </w:rPr>
  </w:style>
  <w:style w:type="paragraph" w:styleId="BodyText3">
    <w:name w:val="Body Text 3"/>
    <w:basedOn w:val="Normal"/>
    <w:link w:val="BodyText3Char"/>
    <w:uiPriority w:val="99"/>
    <w:semiHidden/>
    <w:rsid w:val="0032313C"/>
    <w:pPr>
      <w:spacing w:after="120"/>
    </w:pPr>
    <w:rPr>
      <w:sz w:val="16"/>
      <w:szCs w:val="16"/>
    </w:rPr>
  </w:style>
  <w:style w:type="character" w:customStyle="1" w:styleId="BodyText3Char">
    <w:name w:val="Body Text 3 Char"/>
    <w:basedOn w:val="DefaultParagraphFont"/>
    <w:link w:val="BodyText3"/>
    <w:uiPriority w:val="99"/>
    <w:semiHidden/>
    <w:locked/>
    <w:rsid w:val="0032313C"/>
    <w:rPr>
      <w:rFonts w:ascii="Times New Roman" w:hAnsi="Times New Roman" w:cs="Times New Roman"/>
      <w:sz w:val="16"/>
      <w:szCs w:val="16"/>
      <w:lang w:val="en-US" w:eastAsia="en-US"/>
    </w:rPr>
  </w:style>
  <w:style w:type="paragraph" w:styleId="NormalWeb">
    <w:name w:val="Normal (Web)"/>
    <w:basedOn w:val="Normal"/>
    <w:uiPriority w:val="99"/>
    <w:rsid w:val="0032313C"/>
    <w:pPr>
      <w:tabs>
        <w:tab w:val="clear" w:pos="8640"/>
      </w:tabs>
      <w:spacing w:before="100" w:beforeAutospacing="1" w:after="100" w:afterAutospacing="1" w:line="240" w:lineRule="auto"/>
    </w:pPr>
    <w:rPr>
      <w:lang w:val="en-GB" w:eastAsia="en-GB"/>
    </w:rPr>
  </w:style>
  <w:style w:type="table" w:styleId="TableGrid">
    <w:name w:val="Table Grid"/>
    <w:basedOn w:val="TableNormal"/>
    <w:uiPriority w:val="59"/>
    <w:locked/>
    <w:rsid w:val="006E3D2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31E23"/>
    <w:rPr>
      <w:rFonts w:cs="Times New Roman"/>
      <w:sz w:val="16"/>
      <w:szCs w:val="16"/>
    </w:rPr>
  </w:style>
  <w:style w:type="paragraph" w:styleId="CommentText">
    <w:name w:val="annotation text"/>
    <w:basedOn w:val="Normal"/>
    <w:link w:val="CommentTextChar"/>
    <w:uiPriority w:val="99"/>
    <w:semiHidden/>
    <w:rsid w:val="00331E2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31E23"/>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rsid w:val="00331E23"/>
    <w:rPr>
      <w:b/>
      <w:bCs/>
    </w:rPr>
  </w:style>
  <w:style w:type="character" w:customStyle="1" w:styleId="CommentSubjectChar">
    <w:name w:val="Comment Subject Char"/>
    <w:basedOn w:val="CommentTextChar"/>
    <w:link w:val="CommentSubject"/>
    <w:uiPriority w:val="99"/>
    <w:semiHidden/>
    <w:locked/>
    <w:rsid w:val="00331E23"/>
    <w:rPr>
      <w:rFonts w:ascii="Times New Roman" w:hAnsi="Times New Roman" w:cs="Times New Roman"/>
      <w:b/>
      <w:bCs/>
      <w:lang w:val="en-US" w:eastAsia="en-US"/>
    </w:rPr>
  </w:style>
  <w:style w:type="character" w:customStyle="1" w:styleId="Heading4Char">
    <w:name w:val="Heading 4 Char"/>
    <w:basedOn w:val="DefaultParagraphFont"/>
    <w:link w:val="Heading4"/>
    <w:uiPriority w:val="9"/>
    <w:rsid w:val="00A818F0"/>
    <w:rPr>
      <w:rFonts w:asciiTheme="majorHAnsi" w:eastAsiaTheme="majorEastAsia" w:hAnsiTheme="majorHAnsi" w:cstheme="majorBidi"/>
      <w:b/>
      <w:bCs/>
      <w:i/>
      <w:iCs/>
      <w:color w:val="4F81BD" w:themeColor="accent1"/>
      <w:sz w:val="24"/>
      <w:szCs w:val="24"/>
      <w:lang w:val="en-US" w:eastAsia="en-US"/>
    </w:rPr>
  </w:style>
  <w:style w:type="character" w:customStyle="1" w:styleId="Heading3Char">
    <w:name w:val="Heading 3 Char"/>
    <w:basedOn w:val="DefaultParagraphFont"/>
    <w:link w:val="Heading3"/>
    <w:uiPriority w:val="9"/>
    <w:rsid w:val="00A818F0"/>
    <w:rPr>
      <w:rFonts w:asciiTheme="majorHAnsi" w:eastAsiaTheme="majorEastAsia" w:hAnsiTheme="majorHAnsi" w:cstheme="majorBidi"/>
      <w:b/>
      <w:bCs/>
      <w:color w:val="4F81BD" w:themeColor="accent1"/>
      <w:sz w:val="24"/>
      <w:szCs w:val="24"/>
      <w:lang w:val="en-US" w:eastAsia="en-US"/>
    </w:rPr>
  </w:style>
  <w:style w:type="character" w:customStyle="1" w:styleId="Heading5Char">
    <w:name w:val="Heading 5 Char"/>
    <w:basedOn w:val="DefaultParagraphFont"/>
    <w:link w:val="Heading5"/>
    <w:uiPriority w:val="9"/>
    <w:rsid w:val="00A818F0"/>
    <w:rPr>
      <w:rFonts w:asciiTheme="majorHAnsi" w:eastAsiaTheme="majorEastAsia" w:hAnsiTheme="majorHAnsi" w:cstheme="majorBidi"/>
      <w:color w:val="243F60" w:themeColor="accent1" w:themeShade="7F"/>
      <w:sz w:val="24"/>
      <w:szCs w:val="24"/>
      <w:lang w:val="en-US" w:eastAsia="en-US"/>
    </w:rPr>
  </w:style>
  <w:style w:type="paragraph" w:customStyle="1" w:styleId="ANPhDThesisBody">
    <w:name w:val="AN PhD Thesis Body"/>
    <w:basedOn w:val="Normal"/>
    <w:qFormat/>
    <w:rsid w:val="00A818F0"/>
    <w:pPr>
      <w:widowControl w:val="0"/>
      <w:tabs>
        <w:tab w:val="clear" w:pos="8640"/>
        <w:tab w:val="left" w:pos="357"/>
      </w:tabs>
      <w:suppressAutoHyphens/>
      <w:ind w:firstLine="357"/>
    </w:pPr>
    <w:rPr>
      <w:rFonts w:eastAsia="Times New Roman"/>
      <w:szCs w:val="22"/>
      <w:lang w:val="en-AU" w:eastAsia="zh-CN"/>
    </w:rPr>
  </w:style>
  <w:style w:type="paragraph" w:customStyle="1" w:styleId="ANPhDThesisTitlePage">
    <w:name w:val="AN PhD Thesis Title Page"/>
    <w:basedOn w:val="ANPhDThesisBody"/>
    <w:next w:val="ANPhDThesisBody"/>
    <w:qFormat/>
    <w:rsid w:val="006A0F42"/>
    <w:pPr>
      <w:ind w:firstLine="0"/>
    </w:pPr>
  </w:style>
  <w:style w:type="character" w:styleId="Emphasis">
    <w:name w:val="Emphasis"/>
    <w:uiPriority w:val="20"/>
    <w:qFormat/>
    <w:locked/>
    <w:rsid w:val="006A0F42"/>
    <w:rPr>
      <w:i/>
      <w:iCs/>
    </w:rPr>
  </w:style>
  <w:style w:type="paragraph" w:styleId="TOC9">
    <w:name w:val="toc 9"/>
    <w:basedOn w:val="Normal"/>
    <w:next w:val="Normal"/>
    <w:autoRedefine/>
    <w:uiPriority w:val="39"/>
    <w:unhideWhenUsed/>
    <w:locked/>
    <w:rsid w:val="004233DD"/>
    <w:pPr>
      <w:tabs>
        <w:tab w:val="clear" w:pos="8640"/>
      </w:tabs>
      <w:spacing w:after="100" w:line="259" w:lineRule="auto"/>
      <w:ind w:left="1760"/>
    </w:pPr>
    <w:rPr>
      <w:rFonts w:ascii="Calibri" w:eastAsia="Times New Roman" w:hAnsi="Calibri"/>
      <w:sz w:val="22"/>
      <w:szCs w:val="22"/>
      <w:lang w:val="en-AU" w:eastAsia="en-AU"/>
    </w:rPr>
  </w:style>
  <w:style w:type="paragraph" w:customStyle="1" w:styleId="EndNoteBibliography">
    <w:name w:val="EndNote Bibliography"/>
    <w:basedOn w:val="Normal"/>
    <w:link w:val="EndNoteBibliographyChar"/>
    <w:rsid w:val="006B756F"/>
    <w:pPr>
      <w:tabs>
        <w:tab w:val="clear" w:pos="8640"/>
      </w:tabs>
      <w:spacing w:after="120" w:line="240" w:lineRule="auto"/>
      <w:ind w:left="720" w:hanging="720"/>
    </w:pPr>
    <w:rPr>
      <w:rFonts w:eastAsiaTheme="minorHAnsi"/>
      <w:noProof/>
      <w:sz w:val="22"/>
      <w:szCs w:val="22"/>
    </w:rPr>
  </w:style>
  <w:style w:type="character" w:customStyle="1" w:styleId="EndNoteBibliographyChar">
    <w:name w:val="EndNote Bibliography Char"/>
    <w:basedOn w:val="DefaultParagraphFont"/>
    <w:link w:val="EndNoteBibliography"/>
    <w:rsid w:val="006B756F"/>
    <w:rPr>
      <w:rFonts w:ascii="Times New Roman" w:eastAsiaTheme="minorHAnsi" w:hAnsi="Times New Roman"/>
      <w:noProof/>
      <w:lang w:val="en-US" w:eastAsia="en-US"/>
    </w:rPr>
  </w:style>
  <w:style w:type="character" w:customStyle="1" w:styleId="notranslate">
    <w:name w:val="notranslate"/>
    <w:basedOn w:val="DefaultParagraphFont"/>
    <w:rsid w:val="00C2486F"/>
  </w:style>
  <w:style w:type="character" w:customStyle="1" w:styleId="google-src-text1">
    <w:name w:val="google-src-text1"/>
    <w:basedOn w:val="DefaultParagraphFont"/>
    <w:rsid w:val="00C2486F"/>
    <w:rPr>
      <w:vanish/>
      <w:webHidden w:val="0"/>
      <w:specVanish w:val="0"/>
    </w:rPr>
  </w:style>
  <w:style w:type="character" w:customStyle="1" w:styleId="bibusindexbase">
    <w:name w:val="bibus_index_base"/>
    <w:rsid w:val="000A6AC5"/>
    <w:rPr>
      <w:position w:val="0"/>
      <w:sz w:val="24"/>
      <w:vertAlign w:val="baseline"/>
    </w:rPr>
  </w:style>
  <w:style w:type="character" w:customStyle="1" w:styleId="bibusindexbasei">
    <w:name w:val="bibus_index_basei"/>
    <w:rsid w:val="000A6AC5"/>
    <w:rPr>
      <w:i/>
      <w:position w:val="0"/>
      <w:sz w:val="24"/>
      <w:vertAlign w:val="baseline"/>
    </w:rPr>
  </w:style>
  <w:style w:type="paragraph" w:customStyle="1" w:styleId="Bibliografa1">
    <w:name w:val="Bibliografía 1"/>
    <w:basedOn w:val="Normal"/>
    <w:rsid w:val="000A6AC5"/>
    <w:pPr>
      <w:widowControl w:val="0"/>
      <w:suppressLineNumbers/>
      <w:tabs>
        <w:tab w:val="clear" w:pos="8640"/>
        <w:tab w:val="right" w:leader="dot" w:pos="9637"/>
      </w:tabs>
      <w:suppressAutoHyphens/>
      <w:spacing w:line="240" w:lineRule="auto"/>
    </w:pPr>
    <w:rPr>
      <w:rFonts w:eastAsia="DejaVu Sans" w:cs="Tahoma"/>
      <w:kern w:val="1"/>
      <w:lang w:eastAsia="zh-CN"/>
    </w:rPr>
  </w:style>
  <w:style w:type="character" w:customStyle="1" w:styleId="apple-converted-space">
    <w:name w:val="apple-converted-space"/>
    <w:basedOn w:val="DefaultParagraphFont"/>
    <w:rsid w:val="00235CBB"/>
  </w:style>
  <w:style w:type="character" w:customStyle="1" w:styleId="avw">
    <w:name w:val="avw"/>
    <w:basedOn w:val="DefaultParagraphFont"/>
    <w:rsid w:val="00235CBB"/>
  </w:style>
  <w:style w:type="character" w:customStyle="1" w:styleId="hithilite">
    <w:name w:val="hithilite"/>
    <w:basedOn w:val="DefaultParagraphFont"/>
    <w:rsid w:val="008E057E"/>
  </w:style>
  <w:style w:type="paragraph" w:customStyle="1" w:styleId="frfield">
    <w:name w:val="fr_field"/>
    <w:basedOn w:val="Normal"/>
    <w:rsid w:val="008E057E"/>
    <w:pPr>
      <w:tabs>
        <w:tab w:val="clear" w:pos="8640"/>
      </w:tabs>
      <w:spacing w:before="100" w:beforeAutospacing="1" w:after="100" w:afterAutospacing="1" w:line="240" w:lineRule="auto"/>
    </w:pPr>
    <w:rPr>
      <w:rFonts w:eastAsia="Times New Roman"/>
      <w:lang w:val="en-GB" w:eastAsia="en-GB"/>
    </w:rPr>
  </w:style>
  <w:style w:type="character" w:customStyle="1" w:styleId="frlabel">
    <w:name w:val="fr_label"/>
    <w:basedOn w:val="DefaultParagraphFont"/>
    <w:rsid w:val="008E057E"/>
  </w:style>
  <w:style w:type="paragraph" w:customStyle="1" w:styleId="sourcetitle">
    <w:name w:val="sourcetitle"/>
    <w:basedOn w:val="Normal"/>
    <w:rsid w:val="008E057E"/>
    <w:pPr>
      <w:tabs>
        <w:tab w:val="clear" w:pos="8640"/>
      </w:tabs>
      <w:spacing w:before="100" w:beforeAutospacing="1" w:after="100" w:afterAutospacing="1" w:line="240" w:lineRule="auto"/>
    </w:pPr>
    <w:rPr>
      <w:rFonts w:eastAsia="Times New Roman"/>
      <w:lang w:val="en-GB" w:eastAsia="en-GB"/>
    </w:rPr>
  </w:style>
  <w:style w:type="paragraph" w:customStyle="1" w:styleId="frlabel1">
    <w:name w:val="fr_label1"/>
    <w:basedOn w:val="Normal"/>
    <w:rsid w:val="008E057E"/>
    <w:pPr>
      <w:tabs>
        <w:tab w:val="clear" w:pos="8640"/>
      </w:tabs>
      <w:spacing w:before="100" w:beforeAutospacing="1" w:after="100" w:afterAutospacing="1" w:line="240" w:lineRule="auto"/>
    </w:pPr>
    <w:rPr>
      <w:rFonts w:eastAsia="Times New Roman"/>
      <w:lang w:val="en-GB" w:eastAsia="en-GB"/>
    </w:rPr>
  </w:style>
  <w:style w:type="character" w:customStyle="1" w:styleId="Title1">
    <w:name w:val="Title1"/>
    <w:basedOn w:val="DefaultParagraphFont"/>
    <w:rsid w:val="008E3959"/>
  </w:style>
  <w:style w:type="character" w:customStyle="1" w:styleId="speaker">
    <w:name w:val="speaker"/>
    <w:basedOn w:val="DefaultParagraphFont"/>
    <w:rsid w:val="008E3959"/>
  </w:style>
  <w:style w:type="character" w:customStyle="1" w:styleId="slug-vol">
    <w:name w:val="slug-vol"/>
    <w:basedOn w:val="DefaultParagraphFont"/>
    <w:rsid w:val="00A46BCC"/>
  </w:style>
  <w:style w:type="character" w:customStyle="1" w:styleId="slug-pages3">
    <w:name w:val="slug-pages3"/>
    <w:basedOn w:val="DefaultParagraphFont"/>
    <w:rsid w:val="00A46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872">
      <w:bodyDiv w:val="1"/>
      <w:marLeft w:val="0"/>
      <w:marRight w:val="0"/>
      <w:marTop w:val="0"/>
      <w:marBottom w:val="0"/>
      <w:divBdr>
        <w:top w:val="none" w:sz="0" w:space="0" w:color="auto"/>
        <w:left w:val="none" w:sz="0" w:space="0" w:color="auto"/>
        <w:bottom w:val="none" w:sz="0" w:space="0" w:color="auto"/>
        <w:right w:val="none" w:sz="0" w:space="0" w:color="auto"/>
      </w:divBdr>
      <w:divsChild>
        <w:div w:id="420182827">
          <w:marLeft w:val="330"/>
          <w:marRight w:val="330"/>
          <w:marTop w:val="30"/>
          <w:marBottom w:val="180"/>
          <w:divBdr>
            <w:top w:val="none" w:sz="0" w:space="0" w:color="auto"/>
            <w:left w:val="none" w:sz="0" w:space="0" w:color="auto"/>
            <w:bottom w:val="none" w:sz="0" w:space="0" w:color="auto"/>
            <w:right w:val="none" w:sz="0" w:space="0" w:color="auto"/>
          </w:divBdr>
        </w:div>
        <w:div w:id="1282228340">
          <w:marLeft w:val="330"/>
          <w:marRight w:val="330"/>
          <w:marTop w:val="0"/>
          <w:marBottom w:val="330"/>
          <w:divBdr>
            <w:top w:val="none" w:sz="0" w:space="0" w:color="auto"/>
            <w:left w:val="none" w:sz="0" w:space="0" w:color="auto"/>
            <w:bottom w:val="none" w:sz="0" w:space="0" w:color="auto"/>
            <w:right w:val="none" w:sz="0" w:space="0" w:color="auto"/>
          </w:divBdr>
        </w:div>
        <w:div w:id="1499421411">
          <w:marLeft w:val="330"/>
          <w:marRight w:val="330"/>
          <w:marTop w:val="0"/>
          <w:marBottom w:val="330"/>
          <w:divBdr>
            <w:top w:val="none" w:sz="0" w:space="0" w:color="auto"/>
            <w:left w:val="none" w:sz="0" w:space="0" w:color="auto"/>
            <w:bottom w:val="none" w:sz="0" w:space="0" w:color="auto"/>
            <w:right w:val="none" w:sz="0" w:space="0" w:color="auto"/>
          </w:divBdr>
          <w:divsChild>
            <w:div w:id="1180048952">
              <w:marLeft w:val="0"/>
              <w:marRight w:val="0"/>
              <w:marTop w:val="0"/>
              <w:marBottom w:val="0"/>
              <w:divBdr>
                <w:top w:val="none" w:sz="0" w:space="0" w:color="auto"/>
                <w:left w:val="none" w:sz="0" w:space="0" w:color="auto"/>
                <w:bottom w:val="none" w:sz="0" w:space="0" w:color="auto"/>
                <w:right w:val="none" w:sz="0" w:space="0" w:color="auto"/>
              </w:divBdr>
            </w:div>
          </w:divsChild>
        </w:div>
        <w:div w:id="258412399">
          <w:marLeft w:val="330"/>
          <w:marRight w:val="330"/>
          <w:marTop w:val="0"/>
          <w:marBottom w:val="330"/>
          <w:divBdr>
            <w:top w:val="none" w:sz="0" w:space="0" w:color="auto"/>
            <w:left w:val="none" w:sz="0" w:space="0" w:color="auto"/>
            <w:bottom w:val="none" w:sz="0" w:space="0" w:color="auto"/>
            <w:right w:val="none" w:sz="0" w:space="0" w:color="auto"/>
          </w:divBdr>
          <w:divsChild>
            <w:div w:id="1217817354">
              <w:marLeft w:val="0"/>
              <w:marRight w:val="0"/>
              <w:marTop w:val="60"/>
              <w:marBottom w:val="60"/>
              <w:divBdr>
                <w:top w:val="none" w:sz="0" w:space="0" w:color="auto"/>
                <w:left w:val="none" w:sz="0" w:space="0" w:color="auto"/>
                <w:bottom w:val="none" w:sz="0" w:space="0" w:color="auto"/>
                <w:right w:val="none" w:sz="0" w:space="0" w:color="auto"/>
              </w:divBdr>
            </w:div>
          </w:divsChild>
        </w:div>
        <w:div w:id="116877843">
          <w:marLeft w:val="330"/>
          <w:marRight w:val="330"/>
          <w:marTop w:val="0"/>
          <w:marBottom w:val="330"/>
          <w:divBdr>
            <w:top w:val="none" w:sz="0" w:space="0" w:color="auto"/>
            <w:left w:val="none" w:sz="0" w:space="0" w:color="auto"/>
            <w:bottom w:val="none" w:sz="0" w:space="0" w:color="auto"/>
            <w:right w:val="none" w:sz="0" w:space="0" w:color="auto"/>
          </w:divBdr>
          <w:divsChild>
            <w:div w:id="42303816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6067995">
      <w:bodyDiv w:val="1"/>
      <w:marLeft w:val="0"/>
      <w:marRight w:val="0"/>
      <w:marTop w:val="0"/>
      <w:marBottom w:val="0"/>
      <w:divBdr>
        <w:top w:val="none" w:sz="0" w:space="0" w:color="auto"/>
        <w:left w:val="none" w:sz="0" w:space="0" w:color="auto"/>
        <w:bottom w:val="none" w:sz="0" w:space="0" w:color="auto"/>
        <w:right w:val="none" w:sz="0" w:space="0" w:color="auto"/>
      </w:divBdr>
      <w:divsChild>
        <w:div w:id="1219630642">
          <w:marLeft w:val="330"/>
          <w:marRight w:val="330"/>
          <w:marTop w:val="0"/>
          <w:marBottom w:val="330"/>
          <w:divBdr>
            <w:top w:val="none" w:sz="0" w:space="0" w:color="auto"/>
            <w:left w:val="none" w:sz="0" w:space="0" w:color="auto"/>
            <w:bottom w:val="none" w:sz="0" w:space="0" w:color="auto"/>
            <w:right w:val="none" w:sz="0" w:space="0" w:color="auto"/>
          </w:divBdr>
        </w:div>
        <w:div w:id="441732232">
          <w:marLeft w:val="330"/>
          <w:marRight w:val="330"/>
          <w:marTop w:val="0"/>
          <w:marBottom w:val="330"/>
          <w:divBdr>
            <w:top w:val="none" w:sz="0" w:space="0" w:color="auto"/>
            <w:left w:val="none" w:sz="0" w:space="0" w:color="auto"/>
            <w:bottom w:val="none" w:sz="0" w:space="0" w:color="auto"/>
            <w:right w:val="none" w:sz="0" w:space="0" w:color="auto"/>
          </w:divBdr>
        </w:div>
      </w:divsChild>
    </w:div>
    <w:div w:id="412505829">
      <w:bodyDiv w:val="1"/>
      <w:marLeft w:val="0"/>
      <w:marRight w:val="0"/>
      <w:marTop w:val="0"/>
      <w:marBottom w:val="0"/>
      <w:divBdr>
        <w:top w:val="none" w:sz="0" w:space="0" w:color="auto"/>
        <w:left w:val="none" w:sz="0" w:space="0" w:color="auto"/>
        <w:bottom w:val="none" w:sz="0" w:space="0" w:color="auto"/>
        <w:right w:val="none" w:sz="0" w:space="0" w:color="auto"/>
      </w:divBdr>
    </w:div>
    <w:div w:id="951589670">
      <w:bodyDiv w:val="1"/>
      <w:marLeft w:val="0"/>
      <w:marRight w:val="0"/>
      <w:marTop w:val="0"/>
      <w:marBottom w:val="0"/>
      <w:divBdr>
        <w:top w:val="none" w:sz="0" w:space="0" w:color="auto"/>
        <w:left w:val="none" w:sz="0" w:space="0" w:color="auto"/>
        <w:bottom w:val="none" w:sz="0" w:space="0" w:color="auto"/>
        <w:right w:val="none" w:sz="0" w:space="0" w:color="auto"/>
      </w:divBdr>
    </w:div>
    <w:div w:id="1237473401">
      <w:bodyDiv w:val="1"/>
      <w:marLeft w:val="0"/>
      <w:marRight w:val="0"/>
      <w:marTop w:val="0"/>
      <w:marBottom w:val="0"/>
      <w:divBdr>
        <w:top w:val="none" w:sz="0" w:space="0" w:color="auto"/>
        <w:left w:val="none" w:sz="0" w:space="0" w:color="auto"/>
        <w:bottom w:val="none" w:sz="0" w:space="0" w:color="auto"/>
        <w:right w:val="none" w:sz="0" w:space="0" w:color="auto"/>
      </w:divBdr>
      <w:divsChild>
        <w:div w:id="317458850">
          <w:marLeft w:val="330"/>
          <w:marRight w:val="330"/>
          <w:marTop w:val="0"/>
          <w:marBottom w:val="330"/>
          <w:divBdr>
            <w:top w:val="none" w:sz="0" w:space="0" w:color="auto"/>
            <w:left w:val="none" w:sz="0" w:space="0" w:color="auto"/>
            <w:bottom w:val="none" w:sz="0" w:space="0" w:color="auto"/>
            <w:right w:val="none" w:sz="0" w:space="0" w:color="auto"/>
          </w:divBdr>
        </w:div>
        <w:div w:id="374081728">
          <w:marLeft w:val="330"/>
          <w:marRight w:val="330"/>
          <w:marTop w:val="0"/>
          <w:marBottom w:val="330"/>
          <w:divBdr>
            <w:top w:val="none" w:sz="0" w:space="0" w:color="auto"/>
            <w:left w:val="none" w:sz="0" w:space="0" w:color="auto"/>
            <w:bottom w:val="none" w:sz="0" w:space="0" w:color="auto"/>
            <w:right w:val="none" w:sz="0" w:space="0" w:color="auto"/>
          </w:divBdr>
        </w:div>
      </w:divsChild>
    </w:div>
    <w:div w:id="1581478827">
      <w:bodyDiv w:val="1"/>
      <w:marLeft w:val="0"/>
      <w:marRight w:val="0"/>
      <w:marTop w:val="0"/>
      <w:marBottom w:val="0"/>
      <w:divBdr>
        <w:top w:val="none" w:sz="0" w:space="0" w:color="auto"/>
        <w:left w:val="none" w:sz="0" w:space="0" w:color="auto"/>
        <w:bottom w:val="none" w:sz="0" w:space="0" w:color="auto"/>
        <w:right w:val="none" w:sz="0" w:space="0" w:color="auto"/>
      </w:divBdr>
      <w:divsChild>
        <w:div w:id="1342004243">
          <w:marLeft w:val="0"/>
          <w:marRight w:val="0"/>
          <w:marTop w:val="0"/>
          <w:marBottom w:val="0"/>
          <w:divBdr>
            <w:top w:val="none" w:sz="0" w:space="0" w:color="auto"/>
            <w:left w:val="single" w:sz="6" w:space="3" w:color="auto"/>
            <w:bottom w:val="none" w:sz="0" w:space="0" w:color="auto"/>
            <w:right w:val="none" w:sz="0" w:space="0" w:color="auto"/>
          </w:divBdr>
          <w:divsChild>
            <w:div w:id="365446705">
              <w:marLeft w:val="450"/>
              <w:marRight w:val="0"/>
              <w:marTop w:val="0"/>
              <w:marBottom w:val="0"/>
              <w:divBdr>
                <w:top w:val="none" w:sz="0" w:space="0" w:color="auto"/>
                <w:left w:val="none" w:sz="0" w:space="0" w:color="auto"/>
                <w:bottom w:val="none" w:sz="0" w:space="0" w:color="auto"/>
                <w:right w:val="none" w:sz="0" w:space="0" w:color="auto"/>
              </w:divBdr>
              <w:divsChild>
                <w:div w:id="918832135">
                  <w:marLeft w:val="0"/>
                  <w:marRight w:val="225"/>
                  <w:marTop w:val="75"/>
                  <w:marBottom w:val="0"/>
                  <w:divBdr>
                    <w:top w:val="none" w:sz="0" w:space="0" w:color="auto"/>
                    <w:left w:val="none" w:sz="0" w:space="0" w:color="auto"/>
                    <w:bottom w:val="none" w:sz="0" w:space="0" w:color="auto"/>
                    <w:right w:val="none" w:sz="0" w:space="0" w:color="auto"/>
                  </w:divBdr>
                  <w:divsChild>
                    <w:div w:id="537820437">
                      <w:marLeft w:val="0"/>
                      <w:marRight w:val="0"/>
                      <w:marTop w:val="0"/>
                      <w:marBottom w:val="0"/>
                      <w:divBdr>
                        <w:top w:val="none" w:sz="0" w:space="0" w:color="auto"/>
                        <w:left w:val="none" w:sz="0" w:space="0" w:color="auto"/>
                        <w:bottom w:val="none" w:sz="0" w:space="0" w:color="auto"/>
                        <w:right w:val="none" w:sz="0" w:space="0" w:color="auto"/>
                      </w:divBdr>
                      <w:divsChild>
                        <w:div w:id="1037466396">
                          <w:marLeft w:val="0"/>
                          <w:marRight w:val="0"/>
                          <w:marTop w:val="0"/>
                          <w:marBottom w:val="0"/>
                          <w:divBdr>
                            <w:top w:val="none" w:sz="0" w:space="0" w:color="auto"/>
                            <w:left w:val="none" w:sz="0" w:space="0" w:color="auto"/>
                            <w:bottom w:val="none" w:sz="0" w:space="0" w:color="auto"/>
                            <w:right w:val="none" w:sz="0" w:space="0" w:color="auto"/>
                          </w:divBdr>
                          <w:divsChild>
                            <w:div w:id="1425152380">
                              <w:marLeft w:val="0"/>
                              <w:marRight w:val="0"/>
                              <w:marTop w:val="0"/>
                              <w:marBottom w:val="0"/>
                              <w:divBdr>
                                <w:top w:val="none" w:sz="0" w:space="0" w:color="auto"/>
                                <w:left w:val="none" w:sz="0" w:space="0" w:color="auto"/>
                                <w:bottom w:val="none" w:sz="0" w:space="0" w:color="auto"/>
                                <w:right w:val="none" w:sz="0" w:space="0" w:color="auto"/>
                              </w:divBdr>
                              <w:divsChild>
                                <w:div w:id="1671089">
                                  <w:marLeft w:val="0"/>
                                  <w:marRight w:val="0"/>
                                  <w:marTop w:val="30"/>
                                  <w:marBottom w:val="0"/>
                                  <w:divBdr>
                                    <w:top w:val="none" w:sz="0" w:space="0" w:color="auto"/>
                                    <w:left w:val="none" w:sz="0" w:space="0" w:color="auto"/>
                                    <w:bottom w:val="none" w:sz="0" w:space="0" w:color="auto"/>
                                    <w:right w:val="none" w:sz="0" w:space="0" w:color="auto"/>
                                  </w:divBdr>
                                  <w:divsChild>
                                    <w:div w:id="160336980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1288581317">
                  <w:marLeft w:val="0"/>
                  <w:marRight w:val="0"/>
                  <w:marTop w:val="225"/>
                  <w:marBottom w:val="225"/>
                  <w:divBdr>
                    <w:top w:val="none" w:sz="0" w:space="0" w:color="auto"/>
                    <w:left w:val="none" w:sz="0" w:space="0" w:color="auto"/>
                    <w:bottom w:val="none" w:sz="0" w:space="0" w:color="auto"/>
                    <w:right w:val="none" w:sz="0" w:space="0" w:color="auto"/>
                  </w:divBdr>
                  <w:divsChild>
                    <w:div w:id="1092774568">
                      <w:marLeft w:val="0"/>
                      <w:marRight w:val="0"/>
                      <w:marTop w:val="105"/>
                      <w:marBottom w:val="105"/>
                      <w:divBdr>
                        <w:top w:val="none" w:sz="0" w:space="0" w:color="auto"/>
                        <w:left w:val="none" w:sz="0" w:space="0" w:color="auto"/>
                        <w:bottom w:val="none" w:sz="0" w:space="0" w:color="auto"/>
                        <w:right w:val="none" w:sz="0" w:space="0" w:color="auto"/>
                      </w:divBdr>
                      <w:divsChild>
                        <w:div w:id="1851990427">
                          <w:marLeft w:val="0"/>
                          <w:marRight w:val="0"/>
                          <w:marTop w:val="0"/>
                          <w:marBottom w:val="0"/>
                          <w:divBdr>
                            <w:top w:val="none" w:sz="0" w:space="0" w:color="auto"/>
                            <w:left w:val="none" w:sz="0" w:space="0" w:color="auto"/>
                            <w:bottom w:val="none" w:sz="0" w:space="0" w:color="auto"/>
                            <w:right w:val="none" w:sz="0" w:space="0" w:color="auto"/>
                          </w:divBdr>
                          <w:divsChild>
                            <w:div w:id="1655526248">
                              <w:marLeft w:val="0"/>
                              <w:marRight w:val="0"/>
                              <w:marTop w:val="0"/>
                              <w:marBottom w:val="0"/>
                              <w:divBdr>
                                <w:top w:val="none" w:sz="0" w:space="0" w:color="auto"/>
                                <w:left w:val="none" w:sz="0" w:space="0" w:color="auto"/>
                                <w:bottom w:val="none" w:sz="0" w:space="0" w:color="auto"/>
                                <w:right w:val="none" w:sz="0" w:space="0" w:color="auto"/>
                              </w:divBdr>
                            </w:div>
                            <w:div w:id="1241330848">
                              <w:marLeft w:val="-15"/>
                              <w:marRight w:val="0"/>
                              <w:marTop w:val="0"/>
                              <w:marBottom w:val="0"/>
                              <w:divBdr>
                                <w:top w:val="none" w:sz="0" w:space="0" w:color="auto"/>
                                <w:left w:val="none" w:sz="0" w:space="0" w:color="auto"/>
                                <w:bottom w:val="none" w:sz="0" w:space="0" w:color="auto"/>
                                <w:right w:val="none" w:sz="0" w:space="0" w:color="auto"/>
                              </w:divBdr>
                              <w:divsChild>
                                <w:div w:id="1654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ure.royalholloway.ac.uk/portal/en/publications/interviewer-behaviour-in-structured-and-cognitive-interviews(f7c9455e-18da-4a95-b3e5-7a1455d872a2).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neil.brewer@flinders.edu.a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9C4B5-26E9-414B-BBFE-072E4921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12812</Words>
  <Characters>73031</Characters>
  <Application>Microsoft Macintosh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85672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palm0039</dc:creator>
  <cp:lastModifiedBy>Techs</cp:lastModifiedBy>
  <cp:revision>5</cp:revision>
  <cp:lastPrinted>2018-04-19T07:25:00Z</cp:lastPrinted>
  <dcterms:created xsi:type="dcterms:W3CDTF">2018-04-24T00:45:00Z</dcterms:created>
  <dcterms:modified xsi:type="dcterms:W3CDTF">2018-05-13T11:45:00Z</dcterms:modified>
</cp:coreProperties>
</file>